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3107" w14:textId="77777777" w:rsidR="001A05B4" w:rsidRDefault="001A05B4">
      <w:pPr>
        <w:jc w:val="both"/>
        <w:rPr>
          <w:rFonts w:eastAsia="Arial" w:cs="Arial"/>
        </w:rPr>
      </w:pPr>
    </w:p>
    <w:p w14:paraId="09EC07F3" w14:textId="77777777" w:rsidR="001A05B4" w:rsidRDefault="001A05B4">
      <w:pPr>
        <w:jc w:val="both"/>
        <w:rPr>
          <w:rFonts w:eastAsia="Arial" w:cs="Arial"/>
        </w:rPr>
      </w:pPr>
    </w:p>
    <w:p w14:paraId="18AD1E29" w14:textId="3EF99C3E" w:rsidR="0070196A" w:rsidRDefault="00000000">
      <w:pPr>
        <w:jc w:val="both"/>
        <w:rPr>
          <w:rFonts w:eastAsia="Arial" w:cs="Arial"/>
          <w:b/>
          <w:color w:val="000000"/>
          <w:sz w:val="28"/>
          <w:szCs w:val="28"/>
        </w:rPr>
      </w:pPr>
      <w:r>
        <w:rPr>
          <w:rFonts w:eastAsia="Arial" w:cs="Arial"/>
          <w:b/>
          <w:color w:val="000000"/>
          <w:sz w:val="28"/>
          <w:szCs w:val="28"/>
        </w:rPr>
        <w:t>Book Review</w:t>
      </w:r>
    </w:p>
    <w:p w14:paraId="446ABF0B" w14:textId="77777777" w:rsidR="0070196A" w:rsidRDefault="0070196A" w:rsidP="003F0D4A"/>
    <w:p w14:paraId="4E2FF305" w14:textId="6F264EC6" w:rsidR="0070196A" w:rsidRPr="005B0D28" w:rsidRDefault="005B0D28" w:rsidP="003F0D4A">
      <w:pPr>
        <w:keepNext/>
        <w:spacing w:before="120" w:after="80"/>
        <w:rPr>
          <w:rFonts w:eastAsia="Arial" w:cs="Arial"/>
          <w:b/>
          <w:color w:val="FF0000"/>
          <w:sz w:val="24"/>
          <w:szCs w:val="24"/>
        </w:rPr>
      </w:pPr>
      <w:r>
        <w:rPr>
          <w:rFonts w:eastAsia="Arial" w:cs="Arial"/>
          <w:b/>
          <w:sz w:val="24"/>
          <w:szCs w:val="24"/>
        </w:rPr>
        <w:t xml:space="preserve">Coyle, C. 2026. Book </w:t>
      </w:r>
      <w:commentRangeStart w:id="0"/>
      <w:r w:rsidR="006C4D37">
        <w:rPr>
          <w:rFonts w:eastAsia="Arial" w:cs="Arial"/>
          <w:b/>
          <w:sz w:val="24"/>
          <w:szCs w:val="24"/>
        </w:rPr>
        <w:t>r</w:t>
      </w:r>
      <w:commentRangeEnd w:id="0"/>
      <w:r w:rsidR="006C4D37">
        <w:rPr>
          <w:rStyle w:val="CommentReference"/>
          <w:rFonts w:eastAsia="Arial" w:cs="Arial"/>
          <w:b/>
          <w:sz w:val="24"/>
          <w:szCs w:val="24"/>
        </w:rPr>
        <w:commentReference w:id="0"/>
      </w:r>
      <w:r>
        <w:rPr>
          <w:rFonts w:eastAsia="Arial" w:cs="Arial"/>
          <w:b/>
          <w:sz w:val="24"/>
          <w:szCs w:val="24"/>
        </w:rPr>
        <w:t>eview of Merga, M.</w:t>
      </w:r>
      <w:r w:rsidR="001434B1">
        <w:rPr>
          <w:rFonts w:eastAsia="Arial" w:cs="Arial"/>
          <w:b/>
          <w:sz w:val="24"/>
          <w:szCs w:val="24"/>
        </w:rPr>
        <w:t xml:space="preserve"> </w:t>
      </w:r>
      <w:r w:rsidR="000D1D9D">
        <w:rPr>
          <w:rFonts w:eastAsia="Arial" w:cs="Arial"/>
          <w:b/>
          <w:sz w:val="24"/>
          <w:szCs w:val="24"/>
        </w:rPr>
        <w:t>K.</w:t>
      </w:r>
      <w:r>
        <w:rPr>
          <w:rFonts w:eastAsia="Arial" w:cs="Arial"/>
          <w:b/>
          <w:sz w:val="24"/>
          <w:szCs w:val="24"/>
        </w:rPr>
        <w:t xml:space="preserve"> 2022. </w:t>
      </w:r>
      <w:r>
        <w:rPr>
          <w:rFonts w:eastAsia="Arial" w:cs="Arial"/>
          <w:b/>
          <w:i/>
          <w:sz w:val="24"/>
          <w:szCs w:val="24"/>
        </w:rPr>
        <w:t xml:space="preserve">School libraries supporting literacy and wellbeing. </w:t>
      </w:r>
      <w:r>
        <w:rPr>
          <w:rFonts w:eastAsia="Arial" w:cs="Arial"/>
          <w:b/>
          <w:sz w:val="24"/>
          <w:szCs w:val="24"/>
        </w:rPr>
        <w:t xml:space="preserve">London: Facet. </w:t>
      </w:r>
      <w:r>
        <w:rPr>
          <w:rFonts w:eastAsia="Arial" w:cs="Arial"/>
          <w:b/>
          <w:i/>
          <w:sz w:val="24"/>
          <w:szCs w:val="24"/>
        </w:rPr>
        <w:t>Journal of Information Literacy</w:t>
      </w:r>
      <w:r>
        <w:rPr>
          <w:rFonts w:eastAsia="Arial" w:cs="Arial"/>
          <w:b/>
          <w:sz w:val="24"/>
          <w:szCs w:val="24"/>
        </w:rPr>
        <w:t>,</w:t>
      </w:r>
      <w:r w:rsidR="007A43B9">
        <w:rPr>
          <w:rFonts w:eastAsia="Arial" w:cs="Arial"/>
          <w:b/>
          <w:sz w:val="24"/>
          <w:szCs w:val="24"/>
        </w:rPr>
        <w:t xml:space="preserve"> </w:t>
      </w:r>
      <w:r w:rsidR="007A43B9" w:rsidRPr="001434B1">
        <w:rPr>
          <w:rFonts w:eastAsia="Arial" w:cs="Arial"/>
          <w:b/>
          <w:i/>
          <w:iCs/>
          <w:sz w:val="24"/>
          <w:szCs w:val="24"/>
        </w:rPr>
        <w:t>20</w:t>
      </w:r>
      <w:r w:rsidRPr="00895F5D">
        <w:rPr>
          <w:rFonts w:eastAsia="Arial" w:cs="Arial"/>
          <w:b/>
          <w:sz w:val="24"/>
          <w:szCs w:val="24"/>
        </w:rPr>
        <w:t>(</w:t>
      </w:r>
      <w:r w:rsidR="007A43B9" w:rsidRPr="00895F5D">
        <w:rPr>
          <w:rFonts w:eastAsia="Arial" w:cs="Arial"/>
          <w:b/>
          <w:sz w:val="24"/>
          <w:szCs w:val="24"/>
        </w:rPr>
        <w:t>1</w:t>
      </w:r>
      <w:r w:rsidRPr="00895F5D">
        <w:rPr>
          <w:rFonts w:eastAsia="Arial" w:cs="Arial"/>
          <w:b/>
          <w:sz w:val="24"/>
          <w:szCs w:val="24"/>
        </w:rPr>
        <w:t xml:space="preserve">), </w:t>
      </w:r>
      <w:r w:rsidRPr="00B2292B">
        <w:rPr>
          <w:rFonts w:eastAsia="Arial" w:cs="Arial"/>
          <w:b/>
          <w:sz w:val="24"/>
          <w:szCs w:val="24"/>
        </w:rPr>
        <w:t>pp.</w:t>
      </w:r>
      <w:r w:rsidR="00B2292B" w:rsidRPr="00B2292B">
        <w:t xml:space="preserve"> </w:t>
      </w:r>
      <w:r w:rsidR="00B2292B" w:rsidRPr="00B2292B">
        <w:rPr>
          <w:rFonts w:eastAsia="Arial" w:cs="Arial"/>
          <w:b/>
          <w:sz w:val="24"/>
          <w:szCs w:val="24"/>
        </w:rPr>
        <w:t>246–248</w:t>
      </w:r>
      <w:r w:rsidR="00B2292B" w:rsidRPr="00B2292B">
        <w:rPr>
          <w:rFonts w:eastAsia="Arial" w:cs="Arial"/>
          <w:b/>
          <w:sz w:val="24"/>
          <w:szCs w:val="24"/>
        </w:rPr>
        <w:t>.</w:t>
      </w:r>
    </w:p>
    <w:p w14:paraId="208AE17B" w14:textId="0E861CEE" w:rsidR="0070196A" w:rsidRPr="00EC6BF5" w:rsidRDefault="00EC6BF5">
      <w:pPr>
        <w:spacing w:before="120" w:after="80"/>
        <w:jc w:val="both"/>
        <w:rPr>
          <w:rFonts w:eastAsia="Arial" w:cs="Arial"/>
          <w:b/>
          <w:iCs/>
          <w:sz w:val="24"/>
          <w:szCs w:val="24"/>
        </w:rPr>
        <w:sectPr w:rsidR="0070196A" w:rsidRPr="00EC6B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pPr>
      <w:hyperlink r:id="rId16" w:history="1">
        <w:r w:rsidRPr="00473D61">
          <w:rPr>
            <w:rStyle w:val="Hyperlink"/>
            <w:rFonts w:eastAsia="Arial" w:cs="Arial"/>
            <w:b/>
            <w:iCs/>
            <w:sz w:val="24"/>
            <w:szCs w:val="24"/>
          </w:rPr>
          <w:t>http://dx.doi.org/10.11645/20.1.872</w:t>
        </w:r>
      </w:hyperlink>
      <w:r>
        <w:rPr>
          <w:rFonts w:eastAsia="Arial" w:cs="Arial"/>
          <w:b/>
          <w:iCs/>
          <w:sz w:val="24"/>
          <w:szCs w:val="24"/>
        </w:rPr>
        <w:t xml:space="preserve"> </w:t>
      </w:r>
    </w:p>
    <w:p w14:paraId="0AF8FD49" w14:textId="77777777" w:rsidR="0070196A" w:rsidRDefault="0070196A">
      <w:pPr>
        <w:sectPr w:rsidR="0070196A">
          <w:type w:val="continuous"/>
          <w:pgSz w:w="12240" w:h="15840"/>
          <w:pgMar w:top="1440" w:right="1440" w:bottom="1440" w:left="1440" w:header="720" w:footer="720" w:gutter="0"/>
          <w:cols w:num="2" w:sep="1" w:space="720" w:equalWidth="0">
            <w:col w:w="4320" w:space="720"/>
            <w:col w:w="4320" w:space="0"/>
          </w:cols>
        </w:sectPr>
      </w:pPr>
    </w:p>
    <w:p w14:paraId="0D198595" w14:textId="5E26F524" w:rsidR="0070196A" w:rsidRDefault="005B0D28">
      <w:pPr>
        <w:keepNext/>
        <w:keepLines/>
        <w:pBdr>
          <w:top w:val="nil"/>
          <w:left w:val="nil"/>
          <w:bottom w:val="nil"/>
          <w:right w:val="nil"/>
          <w:between w:val="nil"/>
        </w:pBdr>
        <w:rPr>
          <w:rFonts w:eastAsia="Arial" w:cs="Arial"/>
          <w:b/>
          <w:color w:val="000000"/>
        </w:rPr>
      </w:pPr>
      <w:r>
        <w:rPr>
          <w:rFonts w:eastAsia="Arial" w:cs="Arial"/>
          <w:b/>
          <w:color w:val="000000"/>
        </w:rPr>
        <w:t>Dr Cathal Coyle</w:t>
      </w:r>
    </w:p>
    <w:p w14:paraId="3F24BA07" w14:textId="77777777" w:rsidR="005B0D28" w:rsidRDefault="005B0D28">
      <w:pPr>
        <w:keepNext/>
        <w:keepLines/>
        <w:pBdr>
          <w:top w:val="nil"/>
          <w:left w:val="nil"/>
          <w:bottom w:val="nil"/>
          <w:right w:val="nil"/>
          <w:between w:val="nil"/>
        </w:pBdr>
        <w:rPr>
          <w:rFonts w:eastAsia="Arial" w:cs="Arial"/>
          <w:color w:val="000000"/>
        </w:rPr>
      </w:pPr>
      <w:r>
        <w:rPr>
          <w:rFonts w:eastAsia="Arial" w:cs="Arial"/>
          <w:color w:val="000000"/>
        </w:rPr>
        <w:t xml:space="preserve">Assistant Librarian, Ulster University. </w:t>
      </w:r>
    </w:p>
    <w:p w14:paraId="0583F3ED" w14:textId="77777777" w:rsidR="005B0D28" w:rsidRDefault="005B0D28">
      <w:pPr>
        <w:keepNext/>
        <w:keepLines/>
        <w:pBdr>
          <w:top w:val="nil"/>
          <w:left w:val="nil"/>
          <w:bottom w:val="nil"/>
          <w:right w:val="nil"/>
          <w:between w:val="nil"/>
        </w:pBdr>
        <w:rPr>
          <w:rFonts w:eastAsia="Arial" w:cs="Arial"/>
          <w:color w:val="000000"/>
        </w:rPr>
      </w:pPr>
      <w:r>
        <w:rPr>
          <w:rFonts w:eastAsia="Arial" w:cs="Arial"/>
          <w:color w:val="000000"/>
        </w:rPr>
        <w:t xml:space="preserve">Email: </w:t>
      </w:r>
      <w:hyperlink r:id="rId17" w:history="1">
        <w:r w:rsidRPr="00F40774">
          <w:rPr>
            <w:rStyle w:val="Hyperlink"/>
            <w:rFonts w:eastAsia="Arial" w:cs="Arial"/>
          </w:rPr>
          <w:t>c.coyle@ulster.ac.uk</w:t>
        </w:r>
      </w:hyperlink>
      <w:r>
        <w:rPr>
          <w:rFonts w:eastAsia="Arial" w:cs="Arial"/>
          <w:color w:val="000000"/>
        </w:rPr>
        <w:t xml:space="preserve">  </w:t>
      </w:r>
    </w:p>
    <w:p w14:paraId="3B945A18" w14:textId="55FD1D1E" w:rsidR="005B0D28" w:rsidRDefault="00000000">
      <w:pPr>
        <w:keepNext/>
        <w:keepLines/>
        <w:pBdr>
          <w:top w:val="nil"/>
          <w:left w:val="nil"/>
          <w:bottom w:val="nil"/>
          <w:right w:val="nil"/>
          <w:between w:val="nil"/>
        </w:pBdr>
        <w:rPr>
          <w:rFonts w:eastAsia="Arial" w:cs="Arial"/>
          <w:color w:val="000000"/>
        </w:rPr>
      </w:pPr>
      <w:r>
        <w:rPr>
          <w:rFonts w:eastAsia="Arial" w:cs="Arial"/>
          <w:color w:val="000000"/>
        </w:rPr>
        <w:t>ORCID</w:t>
      </w:r>
      <w:r w:rsidR="005B0D28">
        <w:rPr>
          <w:rFonts w:eastAsia="Arial" w:cs="Arial"/>
          <w:color w:val="000000"/>
        </w:rPr>
        <w:t>:</w:t>
      </w:r>
      <w:r>
        <w:rPr>
          <w:rFonts w:eastAsia="Arial" w:cs="Arial"/>
          <w:color w:val="000000"/>
        </w:rPr>
        <w:t xml:space="preserve"> </w:t>
      </w:r>
      <w:hyperlink r:id="rId18" w:history="1">
        <w:r w:rsidR="005B0D28" w:rsidRPr="001F735D">
          <w:rPr>
            <w:rStyle w:val="Hyperlink"/>
            <w:rFonts w:eastAsia="Arial" w:cs="Arial"/>
          </w:rPr>
          <w:t>0000-0001-7137-5887</w:t>
        </w:r>
      </w:hyperlink>
      <w:r w:rsidR="00370372">
        <w:rPr>
          <w:rFonts w:eastAsia="Arial" w:cs="Arial"/>
          <w:color w:val="000000"/>
        </w:rPr>
        <w:t>.</w:t>
      </w:r>
    </w:p>
    <w:p w14:paraId="1117BA5B" w14:textId="3F600955" w:rsidR="0070196A" w:rsidRPr="00EF6B0A" w:rsidRDefault="005B0D28">
      <w:pPr>
        <w:keepNext/>
        <w:keepLines/>
        <w:pBdr>
          <w:top w:val="nil"/>
          <w:left w:val="nil"/>
          <w:bottom w:val="nil"/>
          <w:right w:val="nil"/>
          <w:between w:val="nil"/>
        </w:pBdr>
        <w:rPr>
          <w:rFonts w:eastAsia="Arial" w:cs="Arial"/>
          <w:color w:val="000000"/>
        </w:rPr>
      </w:pPr>
      <w:r>
        <w:rPr>
          <w:rFonts w:eastAsia="Arial" w:cs="Arial"/>
          <w:color w:val="000000"/>
        </w:rPr>
        <w:t xml:space="preserve">X: </w:t>
      </w:r>
      <w:hyperlink r:id="rId19" w:history="1">
        <w:r w:rsidRPr="00EF6B0A">
          <w:rPr>
            <w:rStyle w:val="Hyperlink"/>
            <w:rFonts w:eastAsia="Arial" w:cs="Arial"/>
          </w:rPr>
          <w:t>@cathalcoyle</w:t>
        </w:r>
      </w:hyperlink>
      <w:r w:rsidR="00EF6B0A">
        <w:rPr>
          <w:rFonts w:eastAsia="Arial" w:cs="Arial"/>
          <w:color w:val="000000"/>
        </w:rPr>
        <w:t>.</w:t>
      </w:r>
    </w:p>
    <w:p w14:paraId="5654E157" w14:textId="77777777" w:rsidR="0070196A" w:rsidRDefault="0070196A"/>
    <w:p w14:paraId="1EFB8FF0" w14:textId="134C35F5" w:rsidR="0070196A" w:rsidRPr="00370372" w:rsidRDefault="005B0D28" w:rsidP="00370372">
      <w:pPr>
        <w:keepNext/>
        <w:keepLines/>
        <w:pBdr>
          <w:top w:val="nil"/>
          <w:left w:val="nil"/>
          <w:bottom w:val="nil"/>
          <w:right w:val="nil"/>
          <w:between w:val="nil"/>
        </w:pBdr>
        <w:spacing w:after="200"/>
        <w:rPr>
          <w:b/>
          <w:color w:val="000000"/>
          <w:sz w:val="28"/>
          <w:szCs w:val="28"/>
        </w:rPr>
      </w:pPr>
      <w:r>
        <w:rPr>
          <w:rFonts w:eastAsia="Arial" w:cs="Arial"/>
        </w:rPr>
        <w:t>Merga, M.</w:t>
      </w:r>
      <w:r w:rsidR="001434B1">
        <w:rPr>
          <w:rFonts w:eastAsia="Arial" w:cs="Arial"/>
        </w:rPr>
        <w:t xml:space="preserve"> </w:t>
      </w:r>
      <w:r w:rsidR="00F82601">
        <w:rPr>
          <w:rFonts w:eastAsia="Arial" w:cs="Arial"/>
        </w:rPr>
        <w:t>K.</w:t>
      </w:r>
      <w:r>
        <w:rPr>
          <w:rFonts w:eastAsia="Arial" w:cs="Arial"/>
        </w:rPr>
        <w:t xml:space="preserve"> (2022). </w:t>
      </w:r>
      <w:r w:rsidRPr="00AE7EDB">
        <w:rPr>
          <w:rFonts w:eastAsia="Arial" w:cs="Arial"/>
          <w:i/>
          <w:iCs/>
        </w:rPr>
        <w:t>School libraries supporting literacy and wellbeing</w:t>
      </w:r>
      <w:r w:rsidRPr="005B0D28">
        <w:rPr>
          <w:rFonts w:eastAsia="Arial" w:cs="Arial"/>
        </w:rPr>
        <w:t>. London: Facet.</w:t>
      </w:r>
      <w:r>
        <w:rPr>
          <w:rFonts w:eastAsia="Arial" w:cs="Arial"/>
        </w:rPr>
        <w:t xml:space="preserve"> pp. 198. ISBN 978</w:t>
      </w:r>
      <w:r w:rsidR="00AE7EDB">
        <w:rPr>
          <w:rFonts w:eastAsia="Arial" w:cs="Arial"/>
        </w:rPr>
        <w:t>1783305841</w:t>
      </w:r>
      <w:r w:rsidR="00BB1794">
        <w:rPr>
          <w:rFonts w:eastAsia="Arial" w:cs="Arial"/>
        </w:rPr>
        <w:t>.</w:t>
      </w:r>
      <w:r w:rsidR="00AE7EDB">
        <w:rPr>
          <w:rFonts w:eastAsia="Arial" w:cs="Arial"/>
        </w:rPr>
        <w:t xml:space="preserve"> </w:t>
      </w:r>
      <w:r>
        <w:rPr>
          <w:rFonts w:eastAsia="Arial" w:cs="Arial"/>
        </w:rPr>
        <w:t>£</w:t>
      </w:r>
      <w:r w:rsidR="00AE7EDB">
        <w:rPr>
          <w:rFonts w:eastAsia="Arial" w:cs="Arial"/>
        </w:rPr>
        <w:t>50</w:t>
      </w:r>
      <w:r>
        <w:rPr>
          <w:rFonts w:eastAsia="Arial" w:cs="Arial"/>
        </w:rPr>
        <w:t>. Pbk.</w:t>
      </w:r>
    </w:p>
    <w:p w14:paraId="7684821E" w14:textId="77777777" w:rsidR="00086700" w:rsidRDefault="00086700">
      <w:pPr>
        <w:sectPr w:rsidR="00086700">
          <w:type w:val="continuous"/>
          <w:pgSz w:w="12240" w:h="15840"/>
          <w:pgMar w:top="1440" w:right="1440" w:bottom="1440" w:left="1440" w:header="720" w:footer="720" w:gutter="0"/>
          <w:cols w:num="2" w:sep="1" w:space="720" w:equalWidth="0">
            <w:col w:w="4320" w:space="720"/>
            <w:col w:w="4320" w:space="0"/>
          </w:cols>
        </w:sectPr>
      </w:pPr>
    </w:p>
    <w:p w14:paraId="4D88E873" w14:textId="77777777" w:rsidR="00EF6B0A" w:rsidRDefault="00EF6B0A" w:rsidP="00F40B5F">
      <w:pPr>
        <w:rPr>
          <w:rFonts w:eastAsia="Arial" w:cs="Arial"/>
        </w:rPr>
      </w:pPr>
    </w:p>
    <w:p w14:paraId="0BCD20EE" w14:textId="25FBF23E" w:rsidR="00F40B5F" w:rsidRDefault="00F40B5F" w:rsidP="00F40B5F">
      <w:pPr>
        <w:rPr>
          <w:rFonts w:eastAsia="Arial" w:cs="Arial"/>
        </w:rPr>
      </w:pPr>
      <w:r w:rsidRPr="00F40B5F">
        <w:rPr>
          <w:rFonts w:eastAsia="Arial" w:cs="Arial"/>
        </w:rPr>
        <w:t xml:space="preserve">Merga’s </w:t>
      </w:r>
      <w:r w:rsidRPr="00F40B5F">
        <w:rPr>
          <w:rFonts w:eastAsia="Arial" w:cs="Arial"/>
          <w:i/>
          <w:iCs/>
        </w:rPr>
        <w:t>School Libraries Supporting Literacy and Wellbeing</w:t>
      </w:r>
      <w:r w:rsidRPr="00F40B5F">
        <w:rPr>
          <w:rFonts w:eastAsia="Arial" w:cs="Arial"/>
        </w:rPr>
        <w:t xml:space="preserve"> offers a timely and persuasive examination of the contribution of school library professionals to students’ literacy development and holistic wellbeing. At a point when schools are navigating heightened accountability pressures alongside growing concern for young people’s mental health, the text positions the school library as both pedagogical partner and pastoral space. The book will be of clear interest to practitioners, school leaders and researchers concerned with evidence-informed library practice.</w:t>
      </w:r>
    </w:p>
    <w:p w14:paraId="6D3E23AB" w14:textId="77777777" w:rsidR="002627B1" w:rsidRPr="00F40B5F" w:rsidRDefault="002627B1" w:rsidP="00F40B5F">
      <w:pPr>
        <w:rPr>
          <w:rFonts w:eastAsia="Arial" w:cs="Arial"/>
        </w:rPr>
      </w:pPr>
    </w:p>
    <w:p w14:paraId="5775044E" w14:textId="12FCF69B" w:rsidR="00F40B5F" w:rsidRDefault="00F40B5F" w:rsidP="00F40B5F">
      <w:pPr>
        <w:rPr>
          <w:rFonts w:eastAsia="Arial" w:cs="Arial"/>
        </w:rPr>
      </w:pPr>
      <w:r w:rsidRPr="00F40B5F">
        <w:rPr>
          <w:rFonts w:eastAsia="Arial" w:cs="Arial"/>
        </w:rPr>
        <w:t xml:space="preserve">The opening chapter, the most substantial in the volume, establishes the professional landscape within which school library staff operate. Drawing primarily on contexts in Australia and the UK, Merga argues that an understanding of literacy and wellbeing initiatives must be situated within a nuanced appreciation of role expectations. Comparative tables outlining the requirements and characteristics of Australian teacher librarians and UK school librarians are particularly helpful. While similarities are evident, Merga highlights subtle yet significant distinctions, notably the stronger expectation of </w:t>
      </w:r>
      <w:r w:rsidR="007027FE">
        <w:rPr>
          <w:rFonts w:eastAsia="Arial" w:cs="Arial"/>
        </w:rPr>
        <w:t>“</w:t>
      </w:r>
      <w:r w:rsidRPr="00F40B5F">
        <w:rPr>
          <w:rFonts w:eastAsia="Arial" w:cs="Arial"/>
        </w:rPr>
        <w:t xml:space="preserve">collaboration </w:t>
      </w:r>
      <w:r w:rsidR="007027FE">
        <w:rPr>
          <w:rFonts w:eastAsia="Arial" w:cs="Arial"/>
        </w:rPr>
        <w:t>far more likely</w:t>
      </w:r>
      <w:r w:rsidR="00E43E5B">
        <w:rPr>
          <w:rFonts w:eastAsia="Arial" w:cs="Arial"/>
        </w:rPr>
        <w:t>”</w:t>
      </w:r>
      <w:r w:rsidR="007027FE">
        <w:rPr>
          <w:rFonts w:eastAsia="Arial" w:cs="Arial"/>
        </w:rPr>
        <w:t xml:space="preserve"> in</w:t>
      </w:r>
      <w:r w:rsidRPr="00F40B5F">
        <w:rPr>
          <w:rFonts w:eastAsia="Arial" w:cs="Arial"/>
        </w:rPr>
        <w:t xml:space="preserve"> the Australian role (Merga, 2022, p.</w:t>
      </w:r>
      <w:r w:rsidR="002627B1">
        <w:rPr>
          <w:rFonts w:eastAsia="Arial" w:cs="Arial"/>
        </w:rPr>
        <w:t xml:space="preserve"> </w:t>
      </w:r>
      <w:r w:rsidRPr="00F40B5F">
        <w:rPr>
          <w:rFonts w:eastAsia="Arial" w:cs="Arial"/>
        </w:rPr>
        <w:t>15). This comparative framing provides a foundation for the chapters that follow and underscores the structural factors that shape practice.</w:t>
      </w:r>
    </w:p>
    <w:p w14:paraId="1B88061A" w14:textId="77777777" w:rsidR="002627B1" w:rsidRPr="00F40B5F" w:rsidRDefault="002627B1" w:rsidP="00F40B5F">
      <w:pPr>
        <w:rPr>
          <w:rFonts w:eastAsia="Arial" w:cs="Arial"/>
        </w:rPr>
      </w:pPr>
    </w:p>
    <w:p w14:paraId="3F3306DE" w14:textId="22DE1E1D" w:rsidR="00F40B5F" w:rsidRPr="00B2292B" w:rsidRDefault="00F40B5F" w:rsidP="00B2292B">
      <w:pPr>
        <w:rPr>
          <w:rFonts w:eastAsia="Arial" w:cs="Arial"/>
        </w:rPr>
      </w:pPr>
      <w:r w:rsidRPr="00B2292B">
        <w:rPr>
          <w:rFonts w:eastAsia="Arial" w:cs="Arial"/>
        </w:rPr>
        <w:t xml:space="preserve">The subsequent chapter turns to reading engagement and literacy, extending the discussion beyond attainment to encompass employability and life chances. A substantial section on Reading for Pleasure (RfP) synthesises research evidence and interrogates persistent misconceptions. Merga suggests that the benefits of RfP are not always fully recognised within schools and may </w:t>
      </w:r>
      <w:r w:rsidR="008B735A" w:rsidRPr="00B2292B">
        <w:rPr>
          <w:rFonts w:eastAsia="Arial" w:cs="Arial"/>
        </w:rPr>
        <w:t>“</w:t>
      </w:r>
      <w:r w:rsidRPr="00B2292B">
        <w:rPr>
          <w:rFonts w:eastAsia="Arial" w:cs="Arial"/>
        </w:rPr>
        <w:t>struggle</w:t>
      </w:r>
      <w:r w:rsidR="008B735A" w:rsidRPr="00B2292B">
        <w:rPr>
          <w:rFonts w:eastAsia="Arial" w:cs="Arial"/>
        </w:rPr>
        <w:t xml:space="preserve"> to compete”</w:t>
      </w:r>
      <w:r w:rsidRPr="00B2292B">
        <w:rPr>
          <w:rFonts w:eastAsia="Arial" w:cs="Arial"/>
        </w:rPr>
        <w:t xml:space="preserve"> for legitimacy alongside more overtly instructional activities (Merga, 2022, p.</w:t>
      </w:r>
      <w:r w:rsidR="002627B1" w:rsidRPr="00B2292B">
        <w:rPr>
          <w:rFonts w:eastAsia="Arial" w:cs="Arial"/>
        </w:rPr>
        <w:t xml:space="preserve"> </w:t>
      </w:r>
      <w:r w:rsidRPr="00B2292B">
        <w:rPr>
          <w:rFonts w:eastAsia="Arial" w:cs="Arial"/>
        </w:rPr>
        <w:t xml:space="preserve">36). Her cross-contextual analysis concludes that, in both Australia and the UK, library professionals are expected to model reading, promote student choice, </w:t>
      </w:r>
      <w:r w:rsidRPr="00B2292B">
        <w:rPr>
          <w:rFonts w:eastAsia="Arial" w:cs="Arial"/>
        </w:rPr>
        <w:lastRenderedPageBreak/>
        <w:t>maintain current knowledge of literature and foster a</w:t>
      </w:r>
      <w:r w:rsidR="00B63486" w:rsidRPr="00B2292B">
        <w:rPr>
          <w:rFonts w:eastAsia="Arial" w:cs="Arial"/>
        </w:rPr>
        <w:t xml:space="preserve"> “</w:t>
      </w:r>
      <w:r w:rsidRPr="00B2292B">
        <w:rPr>
          <w:rFonts w:eastAsia="Arial" w:cs="Arial"/>
        </w:rPr>
        <w:t>whole-school reading culture</w:t>
      </w:r>
      <w:r w:rsidR="00B63486" w:rsidRPr="00B2292B">
        <w:rPr>
          <w:rFonts w:eastAsia="Arial" w:cs="Arial"/>
        </w:rPr>
        <w:t xml:space="preserve">” </w:t>
      </w:r>
      <w:r w:rsidRPr="00B2292B">
        <w:rPr>
          <w:rFonts w:eastAsia="Arial" w:cs="Arial"/>
        </w:rPr>
        <w:t>(Merga, 2022, p.</w:t>
      </w:r>
      <w:r w:rsidR="0070541D" w:rsidRPr="00B2292B">
        <w:rPr>
          <w:rFonts w:eastAsia="Arial" w:cs="Arial"/>
        </w:rPr>
        <w:t xml:space="preserve"> </w:t>
      </w:r>
      <w:r w:rsidRPr="00B2292B">
        <w:rPr>
          <w:rFonts w:eastAsia="Arial" w:cs="Arial"/>
        </w:rPr>
        <w:t>44). The discussion is grounded in research yet retains a strong practical orientation.</w:t>
      </w:r>
    </w:p>
    <w:p w14:paraId="7445D68F" w14:textId="77777777" w:rsidR="002627B1" w:rsidRPr="00F40B5F" w:rsidRDefault="002627B1" w:rsidP="00F40B5F">
      <w:pPr>
        <w:rPr>
          <w:rFonts w:eastAsia="Arial" w:cs="Arial"/>
        </w:rPr>
      </w:pPr>
    </w:p>
    <w:p w14:paraId="239B4705" w14:textId="1A7F7313" w:rsidR="00F40B5F" w:rsidRDefault="00F40B5F" w:rsidP="00F40B5F">
      <w:pPr>
        <w:rPr>
          <w:rFonts w:eastAsia="Arial" w:cs="Arial"/>
        </w:rPr>
      </w:pPr>
      <w:r w:rsidRPr="00F40B5F">
        <w:rPr>
          <w:rFonts w:eastAsia="Arial" w:cs="Arial"/>
        </w:rPr>
        <w:t xml:space="preserve">Merga then addresses support for students experiencing literacy difficulties beyond the early years. Drawing on findings from the 2019 Supporting Struggling Secondary Literacy Learners (SSSLL) project, she examines the complexity of adolescents’ literacy challenges and the targeted strategies required to address them. Her careful reflection on the term </w:t>
      </w:r>
      <w:r w:rsidR="00C939AB" w:rsidRPr="00C939AB">
        <w:rPr>
          <w:rFonts w:eastAsia="Arial" w:cs="Arial"/>
          <w:i/>
          <w:iCs/>
        </w:rPr>
        <w:t>struggling</w:t>
      </w:r>
      <w:r w:rsidR="00C939AB">
        <w:rPr>
          <w:rFonts w:eastAsia="Arial" w:cs="Arial"/>
        </w:rPr>
        <w:t xml:space="preserve"> </w:t>
      </w:r>
      <w:r w:rsidRPr="00F40B5F">
        <w:rPr>
          <w:rFonts w:eastAsia="Arial" w:cs="Arial"/>
        </w:rPr>
        <w:t>is noteworthy; she deploys it strategically while cautioning that minimising students’ difficulties risks undermining the case for adequate resourcing. This section is particularly effective in linking research evidence with actionable school-based interventions.</w:t>
      </w:r>
    </w:p>
    <w:p w14:paraId="77B49392" w14:textId="77777777" w:rsidR="002627B1" w:rsidRPr="00F40B5F" w:rsidRDefault="002627B1" w:rsidP="00F40B5F">
      <w:pPr>
        <w:rPr>
          <w:rFonts w:eastAsia="Arial" w:cs="Arial"/>
        </w:rPr>
      </w:pPr>
    </w:p>
    <w:p w14:paraId="17005287" w14:textId="3E3601BF" w:rsidR="00F40B5F" w:rsidRDefault="00F40B5F" w:rsidP="00F40B5F">
      <w:pPr>
        <w:rPr>
          <w:rFonts w:eastAsia="Arial" w:cs="Arial"/>
        </w:rPr>
      </w:pPr>
      <w:r w:rsidRPr="00F40B5F">
        <w:rPr>
          <w:rFonts w:eastAsia="Arial" w:cs="Arial"/>
        </w:rPr>
        <w:t>A further strength of the book lies in its sustained engagement with evaluation and impact. Acknowledging the data-driven cultures of many contemporary schools, Merga provides practical guidance on implementing and measuring literacy-supportive initiatives. Although recognising the time demands involved, she contends that systematic evaluation can position the school library professional as a “reflective and research-informed expert” (Merga, 2022, p.</w:t>
      </w:r>
      <w:r w:rsidR="0070541D">
        <w:rPr>
          <w:rFonts w:eastAsia="Arial" w:cs="Arial"/>
        </w:rPr>
        <w:t xml:space="preserve"> </w:t>
      </w:r>
      <w:r w:rsidRPr="00F40B5F">
        <w:rPr>
          <w:rFonts w:eastAsia="Arial" w:cs="Arial"/>
        </w:rPr>
        <w:t>69). For readers seeking to evidence the value of their provision to senior leaders, this chapter is likely to prove especially useful.</w:t>
      </w:r>
    </w:p>
    <w:p w14:paraId="5AC6AD8E" w14:textId="77777777" w:rsidR="002627B1" w:rsidRPr="00F40B5F" w:rsidRDefault="002627B1" w:rsidP="00F40B5F">
      <w:pPr>
        <w:rPr>
          <w:rFonts w:eastAsia="Arial" w:cs="Arial"/>
        </w:rPr>
      </w:pPr>
    </w:p>
    <w:p w14:paraId="026AB201" w14:textId="662ADAD7" w:rsidR="00F40B5F" w:rsidRDefault="00F40B5F" w:rsidP="00F40B5F">
      <w:pPr>
        <w:rPr>
          <w:rFonts w:eastAsia="Arial" w:cs="Arial"/>
        </w:rPr>
      </w:pPr>
      <w:r w:rsidRPr="00F40B5F">
        <w:rPr>
          <w:rFonts w:eastAsia="Arial" w:cs="Arial"/>
        </w:rPr>
        <w:t>Chapter four explores the relationship between reading engagement and student wellbeing, drawing explicit connections between RfP and empathy, aspiration and belonging. Merga considers a range of interventions, including the affective benefits of being read to, while noting the relative paucity of research on librarians reading aloud in library spaces</w:t>
      </w:r>
      <w:r w:rsidR="00995B1D">
        <w:rPr>
          <w:rFonts w:eastAsia="Arial" w:cs="Arial"/>
        </w:rPr>
        <w:t xml:space="preserve">. </w:t>
      </w:r>
      <w:r w:rsidRPr="00F40B5F">
        <w:rPr>
          <w:rFonts w:eastAsia="Arial" w:cs="Arial"/>
        </w:rPr>
        <w:t>The discussion reinforces the library’s role as a site not only of cognitive development but also of emotional support.</w:t>
      </w:r>
    </w:p>
    <w:p w14:paraId="43059BA6" w14:textId="77777777" w:rsidR="002627B1" w:rsidRPr="00F40B5F" w:rsidRDefault="002627B1" w:rsidP="00F40B5F">
      <w:pPr>
        <w:rPr>
          <w:rFonts w:eastAsia="Arial" w:cs="Arial"/>
        </w:rPr>
      </w:pPr>
    </w:p>
    <w:p w14:paraId="523B833D" w14:textId="3DAB65B6" w:rsidR="00F40B5F" w:rsidRPr="00F40B5F" w:rsidRDefault="00F40B5F" w:rsidP="00F40B5F">
      <w:pPr>
        <w:rPr>
          <w:rFonts w:eastAsia="Arial" w:cs="Arial"/>
        </w:rPr>
      </w:pPr>
      <w:r w:rsidRPr="00F40B5F">
        <w:rPr>
          <w:rFonts w:eastAsia="Arial" w:cs="Arial"/>
        </w:rPr>
        <w:t>The later chapters broaden the focus to encompass health information and information literacy, situating school librarians as key mediators of reliable knowledge in an era marked by misinformation. The discussion of health literacy is particularly resonant in the wake of the COVID-19 pandemic. Merga draws on international evidence, including a Croatian study that identifies adolescents’ desire for greater school-based health education (Martinović et al., 2021, p.</w:t>
      </w:r>
      <w:r w:rsidR="0070541D">
        <w:rPr>
          <w:rFonts w:eastAsia="Arial" w:cs="Arial"/>
        </w:rPr>
        <w:t xml:space="preserve"> </w:t>
      </w:r>
      <w:r w:rsidRPr="00F40B5F">
        <w:rPr>
          <w:rFonts w:eastAsia="Arial" w:cs="Arial"/>
        </w:rPr>
        <w:t>15), to underline the global relevance of these concerns. In doing so, she demonstrates the value of aligning school library practice with wider public health and digital literacy agendas.</w:t>
      </w:r>
    </w:p>
    <w:p w14:paraId="5026A1D0" w14:textId="38EDD39B" w:rsidR="00F40B5F" w:rsidRDefault="00F40B5F" w:rsidP="00F40B5F">
      <w:pPr>
        <w:rPr>
          <w:rFonts w:eastAsia="Arial" w:cs="Arial"/>
        </w:rPr>
      </w:pPr>
      <w:r w:rsidRPr="00F40B5F">
        <w:rPr>
          <w:rFonts w:eastAsia="Arial" w:cs="Arial"/>
        </w:rPr>
        <w:t>The book concludes by highlighting the importance of inclusive, safe library spaces and by identifying priorities for future research</w:t>
      </w:r>
      <w:r w:rsidR="00251F3A">
        <w:rPr>
          <w:rFonts w:eastAsia="Arial" w:cs="Arial"/>
        </w:rPr>
        <w:t xml:space="preserve"> (</w:t>
      </w:r>
      <w:r w:rsidRPr="00F40B5F">
        <w:rPr>
          <w:rFonts w:eastAsia="Arial" w:cs="Arial"/>
        </w:rPr>
        <w:t>including more robust evidence on collaborative practice</w:t>
      </w:r>
      <w:r w:rsidR="00862E1C">
        <w:rPr>
          <w:rFonts w:eastAsia="Arial" w:cs="Arial"/>
        </w:rPr>
        <w:t xml:space="preserve">), </w:t>
      </w:r>
      <w:r w:rsidR="00F64272">
        <w:rPr>
          <w:rFonts w:eastAsia="Arial" w:cs="Arial"/>
        </w:rPr>
        <w:t xml:space="preserve">showing how it can </w:t>
      </w:r>
      <w:r w:rsidR="00B072BF">
        <w:rPr>
          <w:rFonts w:eastAsia="Arial" w:cs="Arial"/>
        </w:rPr>
        <w:t>“</w:t>
      </w:r>
      <w:r w:rsidR="00F64272">
        <w:rPr>
          <w:rFonts w:eastAsia="Arial" w:cs="Arial"/>
        </w:rPr>
        <w:t xml:space="preserve">benefit </w:t>
      </w:r>
      <w:r w:rsidR="00B072BF">
        <w:rPr>
          <w:rFonts w:eastAsia="Arial" w:cs="Arial"/>
        </w:rPr>
        <w:t xml:space="preserve">schools leading to tangible </w:t>
      </w:r>
      <w:r w:rsidR="00527DD3">
        <w:rPr>
          <w:rFonts w:eastAsia="Arial" w:cs="Arial"/>
        </w:rPr>
        <w:t>advantages</w:t>
      </w:r>
      <w:r w:rsidR="00B072BF">
        <w:rPr>
          <w:rFonts w:eastAsia="Arial" w:cs="Arial"/>
        </w:rPr>
        <w:t xml:space="preserve">” </w:t>
      </w:r>
      <w:r w:rsidRPr="00F40B5F">
        <w:rPr>
          <w:rFonts w:eastAsia="Arial" w:cs="Arial"/>
        </w:rPr>
        <w:t>and its alignment with school leadership priorities (Merga, 2022, p.</w:t>
      </w:r>
      <w:r w:rsidR="0070541D">
        <w:rPr>
          <w:rFonts w:eastAsia="Arial" w:cs="Arial"/>
        </w:rPr>
        <w:t xml:space="preserve"> </w:t>
      </w:r>
      <w:r w:rsidRPr="00F40B5F">
        <w:rPr>
          <w:rFonts w:eastAsia="Arial" w:cs="Arial"/>
        </w:rPr>
        <w:t>156). Throughout, Merga combines a strong research base with practical exemplification, resulting in a text that is both scholarly and accessible.</w:t>
      </w:r>
    </w:p>
    <w:p w14:paraId="55D70EC3" w14:textId="77777777" w:rsidR="0058154B" w:rsidRPr="00F40B5F" w:rsidRDefault="0058154B" w:rsidP="00F40B5F">
      <w:pPr>
        <w:rPr>
          <w:rFonts w:eastAsia="Arial" w:cs="Arial"/>
        </w:rPr>
      </w:pPr>
    </w:p>
    <w:p w14:paraId="59AA1AF8" w14:textId="08AF5247" w:rsidR="005078F9" w:rsidRPr="002627B1" w:rsidRDefault="00F40B5F" w:rsidP="005F2E2F">
      <w:pPr>
        <w:rPr>
          <w:rFonts w:eastAsia="Arial" w:cs="Arial"/>
        </w:rPr>
      </w:pPr>
      <w:r w:rsidRPr="00F40B5F">
        <w:rPr>
          <w:rFonts w:eastAsia="Arial" w:cs="Arial"/>
        </w:rPr>
        <w:t xml:space="preserve">Overall, </w:t>
      </w:r>
      <w:r w:rsidRPr="00F40B5F">
        <w:rPr>
          <w:rFonts w:eastAsia="Arial" w:cs="Arial"/>
          <w:i/>
          <w:iCs/>
        </w:rPr>
        <w:t>School Libraries Supporting Literacy and Wellbeing</w:t>
      </w:r>
      <w:r w:rsidRPr="00F40B5F">
        <w:rPr>
          <w:rFonts w:eastAsia="Arial" w:cs="Arial"/>
        </w:rPr>
        <w:t xml:space="preserve"> is a well-structured and thoughtfully argued contribution to the field. It will serve as a valuable resource for school library professionals seeking to articulate, evidence and extend their impact on students’ literacy and wellbeing, and it offers a compelling case for the centrality of the school library within contemporary educational ecosystems.</w:t>
      </w:r>
    </w:p>
    <w:p w14:paraId="7B26EA13" w14:textId="4D01D08A" w:rsidR="000F1F38" w:rsidRPr="0058154B" w:rsidRDefault="005F2E2F" w:rsidP="0058154B">
      <w:pPr>
        <w:pStyle w:val="Heading2"/>
        <w:spacing w:before="0" w:after="200"/>
        <w:rPr>
          <w:sz w:val="28"/>
          <w:szCs w:val="28"/>
        </w:rPr>
      </w:pPr>
      <w:r w:rsidRPr="0058154B">
        <w:rPr>
          <w:sz w:val="28"/>
          <w:szCs w:val="28"/>
        </w:rPr>
        <w:lastRenderedPageBreak/>
        <w:t>References</w:t>
      </w:r>
    </w:p>
    <w:p w14:paraId="0BEC964F" w14:textId="7DBFEDA8" w:rsidR="00056938" w:rsidRPr="00056938" w:rsidRDefault="00056938" w:rsidP="0058154B">
      <w:pPr>
        <w:ind w:left="720" w:hanging="720"/>
      </w:pPr>
      <w:r w:rsidRPr="00056938">
        <w:t>Martinović, I., Kim, S.</w:t>
      </w:r>
      <w:r w:rsidR="0058154B">
        <w:t xml:space="preserve"> </w:t>
      </w:r>
      <w:r w:rsidRPr="00056938">
        <w:t xml:space="preserve">U., &amp; Stanarević Katavić, S. (2021). </w:t>
      </w:r>
      <w:hyperlink r:id="rId20" w:history="1">
        <w:r w:rsidRPr="00AD0BF5">
          <w:rPr>
            <w:rStyle w:val="Hyperlink"/>
            <w:rFonts w:eastAsia="Arial" w:cs="Arial"/>
          </w:rPr>
          <w:t>Study of health information needs among adolescents in Croatia shows distinct gender differences in information seeking behaviour.</w:t>
        </w:r>
      </w:hyperlink>
      <w:r w:rsidRPr="00056938">
        <w:t xml:space="preserve"> </w:t>
      </w:r>
      <w:r w:rsidRPr="00056938">
        <w:rPr>
          <w:i/>
          <w:iCs/>
        </w:rPr>
        <w:t>Health Information and Libraries Journal</w:t>
      </w:r>
      <w:r w:rsidRPr="00056938">
        <w:t xml:space="preserve">, </w:t>
      </w:r>
      <w:r w:rsidRPr="0058154B">
        <w:rPr>
          <w:i/>
          <w:iCs/>
        </w:rPr>
        <w:t>40</w:t>
      </w:r>
      <w:r w:rsidRPr="00056938">
        <w:t xml:space="preserve">(1), 70–91. </w:t>
      </w:r>
    </w:p>
    <w:p w14:paraId="792916FD" w14:textId="77777777" w:rsidR="0058154B" w:rsidRDefault="0058154B" w:rsidP="0058154B">
      <w:pPr>
        <w:ind w:left="720" w:hanging="720"/>
      </w:pPr>
    </w:p>
    <w:p w14:paraId="316694AF" w14:textId="6215CB82" w:rsidR="0070196A" w:rsidRDefault="005F2E2F" w:rsidP="0058154B">
      <w:pPr>
        <w:ind w:left="720" w:hanging="720"/>
      </w:pPr>
      <w:r>
        <w:t>Merga</w:t>
      </w:r>
      <w:r w:rsidRPr="005F2E2F">
        <w:t xml:space="preserve">, </w:t>
      </w:r>
      <w:r>
        <w:t>M</w:t>
      </w:r>
      <w:r w:rsidRPr="005F2E2F">
        <w:t>.</w:t>
      </w:r>
      <w:r w:rsidR="0058154B">
        <w:t xml:space="preserve"> </w:t>
      </w:r>
      <w:r w:rsidR="00095AB4">
        <w:t>K.</w:t>
      </w:r>
      <w:r w:rsidRPr="005F2E2F">
        <w:t xml:space="preserve"> (202</w:t>
      </w:r>
      <w:r>
        <w:t>2</w:t>
      </w:r>
      <w:r w:rsidRPr="005F2E2F">
        <w:t xml:space="preserve">). </w:t>
      </w:r>
      <w:r w:rsidR="00E344F6" w:rsidRPr="00E344F6">
        <w:rPr>
          <w:i/>
          <w:iCs/>
        </w:rPr>
        <w:t>School libraries supporting literacy and wellbeing</w:t>
      </w:r>
      <w:r w:rsidR="00E344F6" w:rsidRPr="00E344F6">
        <w:t>.</w:t>
      </w:r>
      <w:r w:rsidR="007C1FA3">
        <w:t xml:space="preserve"> </w:t>
      </w:r>
      <w:r w:rsidR="00E344F6" w:rsidRPr="00E344F6">
        <w:t>Facet.</w:t>
      </w:r>
    </w:p>
    <w:p w14:paraId="4762BFF6" w14:textId="77777777" w:rsidR="0070196A" w:rsidRDefault="0070196A"/>
    <w:sectPr w:rsidR="0070196A" w:rsidSect="00B2292B">
      <w:type w:val="continuous"/>
      <w:pgSz w:w="12240" w:h="15840"/>
      <w:pgMar w:top="1440" w:right="1440" w:bottom="1440" w:left="1440" w:header="720" w:footer="720" w:gutter="0"/>
      <w:pgNumType w:start="246"/>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e Matsuno" w:date="2026-04-18T09:51:00Z" w:initials="SM">
    <w:p w14:paraId="3C6A851A" w14:textId="77777777" w:rsidR="006C4D37" w:rsidRDefault="006C4D37" w:rsidP="006C4D37">
      <w:pPr>
        <w:pStyle w:val="CommentText"/>
      </w:pPr>
      <w:r>
        <w:rPr>
          <w:rStyle w:val="CommentReference"/>
        </w:rPr>
        <w:annotationRef/>
      </w:r>
      <w:r>
        <w:t>edited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A85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AF53AD" w16cex:dateUtc="2026-04-18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A851A" w16cid:durableId="55AF53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4084" w14:textId="77777777" w:rsidR="00317F18" w:rsidRDefault="00317F18">
      <w:r>
        <w:separator/>
      </w:r>
    </w:p>
  </w:endnote>
  <w:endnote w:type="continuationSeparator" w:id="0">
    <w:p w14:paraId="5891B8F4" w14:textId="77777777" w:rsidR="00317F18" w:rsidRDefault="0031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0FF4" w14:textId="77777777" w:rsidR="0070196A" w:rsidRDefault="0070196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B0AC" w14:textId="7B3E9E68" w:rsidR="0070196A" w:rsidRDefault="00000000">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5050E5">
      <w:rPr>
        <w:rFonts w:eastAsia="Arial" w:cs="Arial"/>
        <w:i/>
        <w:color w:val="000000"/>
        <w:sz w:val="18"/>
        <w:szCs w:val="18"/>
      </w:rPr>
      <w:t>6</w:t>
    </w:r>
    <w:r>
      <w:rPr>
        <w:rFonts w:eastAsia="Arial" w:cs="Arial"/>
        <w:i/>
        <w:color w:val="000000"/>
        <w:sz w:val="18"/>
        <w:szCs w:val="18"/>
      </w:rPr>
      <w:t xml:space="preserve">, </w:t>
    </w:r>
    <w:r w:rsidR="005050E5">
      <w:rPr>
        <w:rFonts w:eastAsia="Arial" w:cs="Arial"/>
        <w:i/>
        <w:color w:val="000000"/>
        <w:sz w:val="18"/>
        <w:szCs w:val="18"/>
      </w:rPr>
      <w:t>20</w:t>
    </w:r>
    <w:r>
      <w:rPr>
        <w:rFonts w:eastAsia="Arial" w:cs="Arial"/>
        <w:i/>
        <w:color w:val="000000"/>
        <w:sz w:val="18"/>
        <w:szCs w:val="18"/>
      </w:rPr>
      <w:t>(</w:t>
    </w:r>
    <w:r w:rsidR="005050E5">
      <w:rPr>
        <w:rFonts w:eastAsia="Arial" w:cs="Arial"/>
        <w:i/>
        <w:color w:val="000000"/>
        <w:sz w:val="18"/>
        <w:szCs w:val="18"/>
      </w:rPr>
      <w:t>1</w:t>
    </w:r>
    <w:r>
      <w:rPr>
        <w:rFonts w:eastAsia="Arial" w:cs="Arial"/>
        <w:i/>
        <w:color w:val="000000"/>
        <w:sz w:val="18"/>
        <w:szCs w:val="18"/>
      </w:rPr>
      <w:t>).</w:t>
    </w:r>
  </w:p>
  <w:p w14:paraId="393182B0" w14:textId="1076A485" w:rsidR="0070196A" w:rsidRDefault="005050E5" w:rsidP="005050E5">
    <w:pPr>
      <w:pBdr>
        <w:top w:val="nil"/>
        <w:left w:val="nil"/>
        <w:bottom w:val="nil"/>
        <w:right w:val="nil"/>
        <w:between w:val="nil"/>
      </w:pBdr>
      <w:tabs>
        <w:tab w:val="center" w:pos="4513"/>
        <w:tab w:val="right" w:pos="9026"/>
      </w:tabs>
      <w:rPr>
        <w:color w:val="000000"/>
      </w:rPr>
    </w:pPr>
    <w:r w:rsidRPr="005050E5">
      <w:rPr>
        <w:rFonts w:eastAsia="Arial" w:cs="Arial"/>
        <w:i/>
        <w:color w:val="000000"/>
        <w:sz w:val="18"/>
        <w:szCs w:val="18"/>
      </w:rPr>
      <w:t>http://dx.doi.org/10.11645/20.1.872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1CB4" w14:textId="05321DA9" w:rsidR="00EF6B0A" w:rsidRPr="00F21653" w:rsidRDefault="00EF6B0A" w:rsidP="00EF6B0A">
    <w:pPr>
      <w:keepNext/>
      <w:rPr>
        <w:rFonts w:eastAsia="Arial" w:cs="Arial"/>
        <w:sz w:val="20"/>
        <w:szCs w:val="20"/>
      </w:rPr>
    </w:pPr>
    <w:r>
      <w:rPr>
        <w:rFonts w:eastAsia="Arial" w:cs="Arial"/>
        <w:sz w:val="18"/>
        <w:szCs w:val="18"/>
      </w:rPr>
      <w:br/>
    </w:r>
    <w:r>
      <w:rPr>
        <w:rFonts w:eastAsia="Arial" w:cs="Arial"/>
        <w:sz w:val="20"/>
        <w:szCs w:val="20"/>
      </w:rPr>
      <w:br/>
    </w:r>
    <w:r w:rsidR="004F3C56" w:rsidRPr="00F21653">
      <w:rPr>
        <w:rFonts w:eastAsia="Arial" w:cs="Arial"/>
        <w:sz w:val="20"/>
        <w:szCs w:val="20"/>
      </w:rPr>
      <w:t xml:space="preserve">This </w:t>
    </w:r>
    <w:hyperlink r:id="rId1" w:history="1">
      <w:r w:rsidR="004F3C56" w:rsidRPr="00F21653">
        <w:rPr>
          <w:rStyle w:val="Hyperlink"/>
          <w:rFonts w:eastAsia="Arial" w:cs="Arial"/>
          <w:sz w:val="20"/>
          <w:szCs w:val="20"/>
        </w:rPr>
        <w:t>Open Access</w:t>
      </w:r>
    </w:hyperlink>
    <w:r w:rsidR="004F3C56" w:rsidRPr="00F21653">
      <w:rPr>
        <w:rFonts w:eastAsia="Arial" w:cs="Arial"/>
        <w:sz w:val="20"/>
        <w:szCs w:val="20"/>
      </w:rPr>
      <w:t xml:space="preserve"> work is licensed under a </w:t>
    </w:r>
    <w:hyperlink r:id="rId2" w:history="1">
      <w:r w:rsidR="004F3C56" w:rsidRPr="00F21653">
        <w:rPr>
          <w:rStyle w:val="Hyperlink"/>
          <w:rFonts w:eastAsia="Arial" w:cs="Arial"/>
          <w:sz w:val="20"/>
          <w:szCs w:val="20"/>
        </w:rPr>
        <w:t>Creative Commons Attribution-ShareAlike 4.0 International License</w:t>
      </w:r>
    </w:hyperlink>
    <w:r w:rsidR="004F3C56" w:rsidRPr="00F21653">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54BF43E" w14:textId="77777777" w:rsidR="0070196A" w:rsidRDefault="0070196A">
    <w:pPr>
      <w:keepNext/>
      <w:rPr>
        <w:rFonts w:eastAsia="Arial" w:cs="Arial"/>
        <w:sz w:val="18"/>
        <w:szCs w:val="18"/>
      </w:rPr>
    </w:pPr>
  </w:p>
  <w:p w14:paraId="487398E3" w14:textId="01CF8BA8" w:rsidR="00D90E24" w:rsidRPr="00D90E24" w:rsidRDefault="00234F55" w:rsidP="00D90E24">
    <w:pPr>
      <w:keepNext/>
      <w:rPr>
        <w:rFonts w:eastAsia="Arial" w:cs="Arial"/>
        <w:i/>
        <w:sz w:val="18"/>
        <w:szCs w:val="18"/>
      </w:rPr>
    </w:pPr>
    <w:r>
      <w:rPr>
        <w:rFonts w:eastAsia="Arial" w:cs="Arial"/>
        <w:i/>
        <w:sz w:val="18"/>
        <w:szCs w:val="18"/>
      </w:rPr>
      <w:t xml:space="preserve">Coyle. 2026. </w:t>
    </w:r>
    <w:r w:rsidR="00D90E24" w:rsidRPr="00D90E24">
      <w:rPr>
        <w:rFonts w:eastAsia="Arial" w:cs="Arial"/>
        <w:i/>
        <w:sz w:val="18"/>
        <w:szCs w:val="18"/>
      </w:rPr>
      <w:t>Book review of Merga, M.K. 2022. School libraries supporting literacy and wellbeing. London: Facet. Journal of Information Literacy, 20(1), pp.</w:t>
    </w:r>
    <w:r w:rsidR="002E5873" w:rsidRPr="002E5873">
      <w:t xml:space="preserve"> </w:t>
    </w:r>
    <w:r w:rsidR="002E5873" w:rsidRPr="002E5873">
      <w:rPr>
        <w:rFonts w:eastAsia="Arial" w:cs="Arial"/>
        <w:i/>
        <w:sz w:val="18"/>
        <w:szCs w:val="18"/>
      </w:rPr>
      <w:t>246–248</w:t>
    </w:r>
    <w:r w:rsidR="002E5873">
      <w:rPr>
        <w:rFonts w:eastAsia="Arial" w:cs="Arial"/>
        <w:i/>
        <w:sz w:val="18"/>
        <w:szCs w:val="18"/>
      </w:rPr>
      <w:t>.</w:t>
    </w:r>
  </w:p>
  <w:p w14:paraId="7790B6C0" w14:textId="15BD115D" w:rsidR="0070196A" w:rsidRDefault="00D90E24" w:rsidP="00D90E24">
    <w:pPr>
      <w:keepNext/>
      <w:rPr>
        <w:color w:val="000000"/>
      </w:rPr>
    </w:pPr>
    <w:r w:rsidRPr="00D90E24">
      <w:rPr>
        <w:rFonts w:eastAsia="Arial" w:cs="Arial"/>
        <w:i/>
        <w:sz w:val="18"/>
        <w:szCs w:val="18"/>
      </w:rPr>
      <w:t>http://dx.doi.org/10.11645/20.1.872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BF8A" w14:textId="77777777" w:rsidR="00317F18" w:rsidRDefault="00317F18">
      <w:r>
        <w:separator/>
      </w:r>
    </w:p>
  </w:footnote>
  <w:footnote w:type="continuationSeparator" w:id="0">
    <w:p w14:paraId="6FDBDD8C" w14:textId="77777777" w:rsidR="00317F18" w:rsidRDefault="00317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4912" w14:textId="77777777" w:rsidR="0070196A" w:rsidRDefault="0070196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0EA4" w14:textId="74C33741" w:rsidR="0070196A" w:rsidRDefault="0013001B">
    <w:pPr>
      <w:pBdr>
        <w:top w:val="nil"/>
        <w:left w:val="nil"/>
        <w:bottom w:val="nil"/>
        <w:right w:val="nil"/>
        <w:between w:val="nil"/>
      </w:pBdr>
      <w:tabs>
        <w:tab w:val="center" w:pos="4680"/>
        <w:tab w:val="right" w:pos="9360"/>
      </w:tabs>
      <w:jc w:val="right"/>
    </w:pPr>
    <w:r>
      <w:rPr>
        <w:rFonts w:eastAsia="Arial" w:cs="Arial"/>
        <w:color w:val="000000"/>
        <w:sz w:val="18"/>
        <w:szCs w:val="18"/>
      </w:rPr>
      <w:t xml:space="preserve">Coyle </w:t>
    </w:r>
    <w:r>
      <w:rPr>
        <w:color w:val="000000"/>
        <w:sz w:val="18"/>
        <w:szCs w:val="18"/>
      </w:rPr>
      <w:fldChar w:fldCharType="begin"/>
    </w:r>
    <w:r>
      <w:rPr>
        <w:color w:val="000000"/>
        <w:sz w:val="18"/>
        <w:szCs w:val="18"/>
      </w:rPr>
      <w:instrText>PAGE</w:instrText>
    </w:r>
    <w:r>
      <w:rPr>
        <w:color w:val="000000"/>
        <w:sz w:val="18"/>
        <w:szCs w:val="18"/>
      </w:rPr>
      <w:fldChar w:fldCharType="separate"/>
    </w:r>
    <w:r w:rsidR="005B0D28">
      <w:rPr>
        <w:noProof/>
        <w:color w:val="000000"/>
        <w:sz w:val="18"/>
        <w:szCs w:val="18"/>
      </w:rPr>
      <w:t>2</w:t>
    </w:r>
    <w:r>
      <w:rPr>
        <w:color w:val="000000"/>
        <w:sz w:val="18"/>
        <w:szCs w:val="18"/>
      </w:rPr>
      <w:fldChar w:fldCharType="end"/>
    </w:r>
    <w:r w:rsidR="002627B1">
      <w:rPr>
        <w:color w:val="000000"/>
        <w:sz w:val="18"/>
        <w:szCs w:val="18"/>
      </w:rPr>
      <w:br/>
    </w:r>
    <w:r w:rsidR="002627B1">
      <w:rPr>
        <w:color w:val="000000"/>
        <w:sz w:val="18"/>
        <w:szCs w:val="18"/>
      </w:rPr>
      <w:br/>
    </w:r>
    <w:r w:rsidR="002627B1">
      <w:rPr>
        <w:color w:val="000000"/>
        <w:sz w:val="18"/>
        <w:szCs w:val="18"/>
      </w:rPr>
      <w:br/>
    </w:r>
    <w:r w:rsidR="002627B1">
      <w:rPr>
        <w:color w:val="000000"/>
        <w:sz w:val="18"/>
        <w:szCs w:val="18"/>
      </w:rPr>
      <w:br/>
    </w:r>
    <w:r w:rsidR="002627B1">
      <w:rPr>
        <w:color w:val="000000"/>
        <w:sz w:val="18"/>
        <w:szCs w:val="18"/>
      </w:rPr>
      <w:br/>
    </w:r>
    <w:r w:rsidR="002627B1">
      <w:rPr>
        <w:color w:val="000000"/>
        <w:sz w:val="18"/>
        <w:szCs w:val="18"/>
      </w:rPr>
      <w:br/>
    </w:r>
    <w:r>
      <w:rPr>
        <w:noProof/>
      </w:rPr>
      <w:drawing>
        <wp:anchor distT="0" distB="0" distL="114300" distR="114300" simplePos="0" relativeHeight="251658240" behindDoc="0" locked="0" layoutInCell="1" hidden="0" allowOverlap="1" wp14:anchorId="464E4D37" wp14:editId="44F510F8">
          <wp:simplePos x="0" y="0"/>
          <wp:positionH relativeFrom="column">
            <wp:posOffset>-463549</wp:posOffset>
          </wp:positionH>
          <wp:positionV relativeFrom="paragraph">
            <wp:posOffset>-298449</wp:posOffset>
          </wp:positionV>
          <wp:extent cx="1181100" cy="1181100"/>
          <wp:effectExtent l="0" t="0" r="0" b="0"/>
          <wp:wrapSquare wrapText="bothSides" distT="0" distB="0" distL="114300" distR="114300"/>
          <wp:docPr id="19873174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DCF1" w14:textId="77777777" w:rsidR="0070196A"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898D9B5" wp14:editId="6AE49F89">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1048861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2D0DE052" w14:textId="61B40F65" w:rsidR="0070196A" w:rsidRPr="00C939AB" w:rsidRDefault="00000000">
    <w:pPr>
      <w:pBdr>
        <w:top w:val="nil"/>
        <w:left w:val="nil"/>
        <w:bottom w:val="nil"/>
        <w:right w:val="nil"/>
        <w:between w:val="nil"/>
      </w:pBdr>
      <w:tabs>
        <w:tab w:val="center" w:pos="4513"/>
        <w:tab w:val="right" w:pos="9026"/>
      </w:tabs>
      <w:jc w:val="right"/>
      <w:rPr>
        <w:rFonts w:eastAsia="Arial" w:cs="Arial"/>
      </w:rPr>
    </w:pPr>
    <w:r w:rsidRPr="00C939AB">
      <w:rPr>
        <w:rFonts w:eastAsia="Arial" w:cs="Arial"/>
      </w:rPr>
      <w:t xml:space="preserve">Volume </w:t>
    </w:r>
    <w:r w:rsidR="00A73F61" w:rsidRPr="00C939AB">
      <w:rPr>
        <w:rFonts w:eastAsia="Arial" w:cs="Arial"/>
      </w:rPr>
      <w:t>20</w:t>
    </w:r>
    <w:r w:rsidRPr="00C939AB">
      <w:rPr>
        <w:rFonts w:eastAsia="Arial" w:cs="Arial"/>
      </w:rPr>
      <w:t xml:space="preserve"> Issue </w:t>
    </w:r>
    <w:r w:rsidR="00A36B8D" w:rsidRPr="00C939AB">
      <w:rPr>
        <w:rFonts w:eastAsia="Arial" w:cs="Arial"/>
      </w:rPr>
      <w:t>1</w:t>
    </w:r>
  </w:p>
  <w:p w14:paraId="08636A4E" w14:textId="568075AB" w:rsidR="0070196A"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r w:rsidR="001A05B4">
      <w:rPr>
        <w:rFonts w:eastAsia="Arial" w:cs="Arial"/>
        <w:color w:val="000000"/>
      </w:rP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e Matsuno">
    <w15:presenceInfo w15:providerId="AD" w15:userId="S::k2480826@kcl.ac.uk::02561cb6-4a96-461f-aa1c-645f36eafc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96A"/>
    <w:rsid w:val="000043BB"/>
    <w:rsid w:val="000060D6"/>
    <w:rsid w:val="00011410"/>
    <w:rsid w:val="00014712"/>
    <w:rsid w:val="0002647A"/>
    <w:rsid w:val="00030E69"/>
    <w:rsid w:val="000447FD"/>
    <w:rsid w:val="00045D05"/>
    <w:rsid w:val="00056938"/>
    <w:rsid w:val="00061FCA"/>
    <w:rsid w:val="00073A19"/>
    <w:rsid w:val="0007733D"/>
    <w:rsid w:val="00081282"/>
    <w:rsid w:val="00086700"/>
    <w:rsid w:val="0009273B"/>
    <w:rsid w:val="00095AB4"/>
    <w:rsid w:val="000A542D"/>
    <w:rsid w:val="000B1ECE"/>
    <w:rsid w:val="000B25E3"/>
    <w:rsid w:val="000D1D9D"/>
    <w:rsid w:val="000D3E07"/>
    <w:rsid w:val="000F1F38"/>
    <w:rsid w:val="000F7F05"/>
    <w:rsid w:val="00122E0D"/>
    <w:rsid w:val="0012374A"/>
    <w:rsid w:val="0013001B"/>
    <w:rsid w:val="00135171"/>
    <w:rsid w:val="00136ED1"/>
    <w:rsid w:val="001434B1"/>
    <w:rsid w:val="00153185"/>
    <w:rsid w:val="00171832"/>
    <w:rsid w:val="0018448B"/>
    <w:rsid w:val="00184F9A"/>
    <w:rsid w:val="00191049"/>
    <w:rsid w:val="00191FAC"/>
    <w:rsid w:val="001A05B4"/>
    <w:rsid w:val="001A2D44"/>
    <w:rsid w:val="001B1062"/>
    <w:rsid w:val="001B3100"/>
    <w:rsid w:val="001B3126"/>
    <w:rsid w:val="001B7ACB"/>
    <w:rsid w:val="001C0200"/>
    <w:rsid w:val="001D5341"/>
    <w:rsid w:val="001E1D80"/>
    <w:rsid w:val="001F656D"/>
    <w:rsid w:val="001F735D"/>
    <w:rsid w:val="001F7C3C"/>
    <w:rsid w:val="00206EA1"/>
    <w:rsid w:val="00233335"/>
    <w:rsid w:val="00234F55"/>
    <w:rsid w:val="00251F3A"/>
    <w:rsid w:val="002570A5"/>
    <w:rsid w:val="002571DA"/>
    <w:rsid w:val="002573EB"/>
    <w:rsid w:val="002627B1"/>
    <w:rsid w:val="00265FA2"/>
    <w:rsid w:val="002765AE"/>
    <w:rsid w:val="00277C38"/>
    <w:rsid w:val="00290B18"/>
    <w:rsid w:val="00293B29"/>
    <w:rsid w:val="00294026"/>
    <w:rsid w:val="002A791E"/>
    <w:rsid w:val="002B5B72"/>
    <w:rsid w:val="002D215A"/>
    <w:rsid w:val="002D4DAF"/>
    <w:rsid w:val="002E5873"/>
    <w:rsid w:val="002F1A12"/>
    <w:rsid w:val="00305C06"/>
    <w:rsid w:val="00306489"/>
    <w:rsid w:val="00317F18"/>
    <w:rsid w:val="003430A3"/>
    <w:rsid w:val="00350EE7"/>
    <w:rsid w:val="003536AC"/>
    <w:rsid w:val="00370372"/>
    <w:rsid w:val="00384970"/>
    <w:rsid w:val="003B457F"/>
    <w:rsid w:val="003F0D4A"/>
    <w:rsid w:val="0041162B"/>
    <w:rsid w:val="004148FD"/>
    <w:rsid w:val="004259D3"/>
    <w:rsid w:val="004343C2"/>
    <w:rsid w:val="00451208"/>
    <w:rsid w:val="00465BBF"/>
    <w:rsid w:val="004660A6"/>
    <w:rsid w:val="004717AF"/>
    <w:rsid w:val="004731DD"/>
    <w:rsid w:val="00482C8F"/>
    <w:rsid w:val="004911F4"/>
    <w:rsid w:val="004B0AD1"/>
    <w:rsid w:val="004B70E9"/>
    <w:rsid w:val="004D245A"/>
    <w:rsid w:val="004F3C56"/>
    <w:rsid w:val="005050E5"/>
    <w:rsid w:val="005063C0"/>
    <w:rsid w:val="005078F9"/>
    <w:rsid w:val="005121B0"/>
    <w:rsid w:val="00512736"/>
    <w:rsid w:val="00521061"/>
    <w:rsid w:val="00525AFE"/>
    <w:rsid w:val="00525D5D"/>
    <w:rsid w:val="00527DD3"/>
    <w:rsid w:val="00557C85"/>
    <w:rsid w:val="00560399"/>
    <w:rsid w:val="005625A0"/>
    <w:rsid w:val="0056681E"/>
    <w:rsid w:val="00567A05"/>
    <w:rsid w:val="00574010"/>
    <w:rsid w:val="0058154B"/>
    <w:rsid w:val="00581F0C"/>
    <w:rsid w:val="005828A8"/>
    <w:rsid w:val="005934CD"/>
    <w:rsid w:val="005A783B"/>
    <w:rsid w:val="005B0D28"/>
    <w:rsid w:val="005C27AA"/>
    <w:rsid w:val="005C515E"/>
    <w:rsid w:val="005C6055"/>
    <w:rsid w:val="005D68F7"/>
    <w:rsid w:val="005F2B6E"/>
    <w:rsid w:val="005F2E2F"/>
    <w:rsid w:val="005F749E"/>
    <w:rsid w:val="00605EA0"/>
    <w:rsid w:val="00606970"/>
    <w:rsid w:val="00625778"/>
    <w:rsid w:val="00634B56"/>
    <w:rsid w:val="00650C9A"/>
    <w:rsid w:val="00651B5D"/>
    <w:rsid w:val="00652409"/>
    <w:rsid w:val="00657EB0"/>
    <w:rsid w:val="00666586"/>
    <w:rsid w:val="0067188D"/>
    <w:rsid w:val="006757F1"/>
    <w:rsid w:val="00684B6C"/>
    <w:rsid w:val="0068721D"/>
    <w:rsid w:val="00696D3B"/>
    <w:rsid w:val="006C0B93"/>
    <w:rsid w:val="006C4D37"/>
    <w:rsid w:val="006C6F11"/>
    <w:rsid w:val="006D0D70"/>
    <w:rsid w:val="006D4656"/>
    <w:rsid w:val="006E1E9D"/>
    <w:rsid w:val="006F102A"/>
    <w:rsid w:val="0070196A"/>
    <w:rsid w:val="007027FE"/>
    <w:rsid w:val="007034EC"/>
    <w:rsid w:val="0070541D"/>
    <w:rsid w:val="0071707F"/>
    <w:rsid w:val="00741D2E"/>
    <w:rsid w:val="00743310"/>
    <w:rsid w:val="00744EC7"/>
    <w:rsid w:val="00745FFF"/>
    <w:rsid w:val="00753C5C"/>
    <w:rsid w:val="00762EDC"/>
    <w:rsid w:val="00765410"/>
    <w:rsid w:val="00770C4D"/>
    <w:rsid w:val="007930A9"/>
    <w:rsid w:val="00794427"/>
    <w:rsid w:val="0079454A"/>
    <w:rsid w:val="007A43B9"/>
    <w:rsid w:val="007C1FA3"/>
    <w:rsid w:val="007E35F7"/>
    <w:rsid w:val="007E4477"/>
    <w:rsid w:val="007F7441"/>
    <w:rsid w:val="00800218"/>
    <w:rsid w:val="00826B86"/>
    <w:rsid w:val="00845EFF"/>
    <w:rsid w:val="00851A01"/>
    <w:rsid w:val="00855A3F"/>
    <w:rsid w:val="00856EEB"/>
    <w:rsid w:val="00862E1C"/>
    <w:rsid w:val="00867480"/>
    <w:rsid w:val="008935E1"/>
    <w:rsid w:val="00895F5D"/>
    <w:rsid w:val="0089770C"/>
    <w:rsid w:val="008B037B"/>
    <w:rsid w:val="008B0C22"/>
    <w:rsid w:val="008B735A"/>
    <w:rsid w:val="008B7D02"/>
    <w:rsid w:val="008C48A6"/>
    <w:rsid w:val="008D2641"/>
    <w:rsid w:val="008F5AF3"/>
    <w:rsid w:val="008F7048"/>
    <w:rsid w:val="009037FE"/>
    <w:rsid w:val="00904175"/>
    <w:rsid w:val="00910A9E"/>
    <w:rsid w:val="009913EE"/>
    <w:rsid w:val="00994FF4"/>
    <w:rsid w:val="00995B1D"/>
    <w:rsid w:val="00996987"/>
    <w:rsid w:val="00996E1E"/>
    <w:rsid w:val="009D7DFC"/>
    <w:rsid w:val="009E47C9"/>
    <w:rsid w:val="009F5953"/>
    <w:rsid w:val="00A07ABF"/>
    <w:rsid w:val="00A1732B"/>
    <w:rsid w:val="00A35AB9"/>
    <w:rsid w:val="00A36B8D"/>
    <w:rsid w:val="00A50689"/>
    <w:rsid w:val="00A53C2E"/>
    <w:rsid w:val="00A54146"/>
    <w:rsid w:val="00A55854"/>
    <w:rsid w:val="00A724E8"/>
    <w:rsid w:val="00A73F61"/>
    <w:rsid w:val="00A76E33"/>
    <w:rsid w:val="00A76EFE"/>
    <w:rsid w:val="00A775D9"/>
    <w:rsid w:val="00A8084D"/>
    <w:rsid w:val="00A81612"/>
    <w:rsid w:val="00A829DD"/>
    <w:rsid w:val="00A852F4"/>
    <w:rsid w:val="00AA31ED"/>
    <w:rsid w:val="00AB37CF"/>
    <w:rsid w:val="00AD0BF5"/>
    <w:rsid w:val="00AD43A1"/>
    <w:rsid w:val="00AE7EDB"/>
    <w:rsid w:val="00B072BF"/>
    <w:rsid w:val="00B1716D"/>
    <w:rsid w:val="00B2292B"/>
    <w:rsid w:val="00B367F2"/>
    <w:rsid w:val="00B44E41"/>
    <w:rsid w:val="00B47276"/>
    <w:rsid w:val="00B55E8E"/>
    <w:rsid w:val="00B63486"/>
    <w:rsid w:val="00B97E98"/>
    <w:rsid w:val="00B97F47"/>
    <w:rsid w:val="00BB1794"/>
    <w:rsid w:val="00BD5123"/>
    <w:rsid w:val="00BE27FB"/>
    <w:rsid w:val="00BF1E25"/>
    <w:rsid w:val="00C1248D"/>
    <w:rsid w:val="00C17B64"/>
    <w:rsid w:val="00C228E5"/>
    <w:rsid w:val="00C23ADA"/>
    <w:rsid w:val="00C40383"/>
    <w:rsid w:val="00C47627"/>
    <w:rsid w:val="00C510BD"/>
    <w:rsid w:val="00C541BB"/>
    <w:rsid w:val="00C5584F"/>
    <w:rsid w:val="00C6116F"/>
    <w:rsid w:val="00C62EF0"/>
    <w:rsid w:val="00C66F19"/>
    <w:rsid w:val="00C67795"/>
    <w:rsid w:val="00C83737"/>
    <w:rsid w:val="00C842B0"/>
    <w:rsid w:val="00C939AB"/>
    <w:rsid w:val="00C95DD7"/>
    <w:rsid w:val="00CC0DEE"/>
    <w:rsid w:val="00CD6047"/>
    <w:rsid w:val="00CE33C8"/>
    <w:rsid w:val="00D27AB5"/>
    <w:rsid w:val="00D30FED"/>
    <w:rsid w:val="00D3596C"/>
    <w:rsid w:val="00D55443"/>
    <w:rsid w:val="00D57B7C"/>
    <w:rsid w:val="00D90E24"/>
    <w:rsid w:val="00D943D6"/>
    <w:rsid w:val="00DB691F"/>
    <w:rsid w:val="00DD52F2"/>
    <w:rsid w:val="00DE1EA1"/>
    <w:rsid w:val="00DF3AF5"/>
    <w:rsid w:val="00DF3AFC"/>
    <w:rsid w:val="00E2425A"/>
    <w:rsid w:val="00E344F6"/>
    <w:rsid w:val="00E37331"/>
    <w:rsid w:val="00E42535"/>
    <w:rsid w:val="00E43E5B"/>
    <w:rsid w:val="00E44B5D"/>
    <w:rsid w:val="00E451AF"/>
    <w:rsid w:val="00E54E2B"/>
    <w:rsid w:val="00E609D8"/>
    <w:rsid w:val="00E62DD0"/>
    <w:rsid w:val="00E67F77"/>
    <w:rsid w:val="00E70CD9"/>
    <w:rsid w:val="00E76129"/>
    <w:rsid w:val="00E776B1"/>
    <w:rsid w:val="00E8413D"/>
    <w:rsid w:val="00E86607"/>
    <w:rsid w:val="00E93EC6"/>
    <w:rsid w:val="00E96835"/>
    <w:rsid w:val="00EB657F"/>
    <w:rsid w:val="00EC0D42"/>
    <w:rsid w:val="00EC17C7"/>
    <w:rsid w:val="00EC6BF5"/>
    <w:rsid w:val="00ED4652"/>
    <w:rsid w:val="00EE5175"/>
    <w:rsid w:val="00EF5DA2"/>
    <w:rsid w:val="00EF696D"/>
    <w:rsid w:val="00EF6B0A"/>
    <w:rsid w:val="00F03DDE"/>
    <w:rsid w:val="00F40B5F"/>
    <w:rsid w:val="00F61CE1"/>
    <w:rsid w:val="00F63D2C"/>
    <w:rsid w:val="00F64272"/>
    <w:rsid w:val="00F66A91"/>
    <w:rsid w:val="00F73198"/>
    <w:rsid w:val="00F81132"/>
    <w:rsid w:val="00F82601"/>
    <w:rsid w:val="00F94E97"/>
    <w:rsid w:val="00FB2473"/>
    <w:rsid w:val="00FB6D6F"/>
    <w:rsid w:val="00FC239B"/>
    <w:rsid w:val="00FC2F96"/>
    <w:rsid w:val="00FD5C2E"/>
    <w:rsid w:val="00FE2DF9"/>
    <w:rsid w:val="00FF2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3708"/>
  <w15:docId w15:val="{11705D8B-55D8-4AFC-AAA5-9562046C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D4A"/>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B0D28"/>
    <w:rPr>
      <w:color w:val="0000FF" w:themeColor="hyperlink"/>
      <w:u w:val="single"/>
    </w:rPr>
  </w:style>
  <w:style w:type="character" w:styleId="UnresolvedMention">
    <w:name w:val="Unresolved Mention"/>
    <w:basedOn w:val="DefaultParagraphFont"/>
    <w:uiPriority w:val="99"/>
    <w:semiHidden/>
    <w:unhideWhenUsed/>
    <w:rsid w:val="005B0D28"/>
    <w:rPr>
      <w:color w:val="605E5C"/>
      <w:shd w:val="clear" w:color="auto" w:fill="E1DFDD"/>
    </w:rPr>
  </w:style>
  <w:style w:type="character" w:styleId="CommentReference">
    <w:name w:val="annotation reference"/>
    <w:basedOn w:val="DefaultParagraphFont"/>
    <w:uiPriority w:val="99"/>
    <w:semiHidden/>
    <w:unhideWhenUsed/>
    <w:rsid w:val="006C4D37"/>
    <w:rPr>
      <w:sz w:val="16"/>
      <w:szCs w:val="16"/>
    </w:rPr>
  </w:style>
  <w:style w:type="paragraph" w:styleId="CommentText">
    <w:name w:val="annotation text"/>
    <w:basedOn w:val="Normal"/>
    <w:link w:val="CommentTextChar"/>
    <w:uiPriority w:val="99"/>
    <w:unhideWhenUsed/>
    <w:rsid w:val="006C4D37"/>
    <w:rPr>
      <w:sz w:val="20"/>
      <w:szCs w:val="20"/>
    </w:rPr>
  </w:style>
  <w:style w:type="character" w:customStyle="1" w:styleId="CommentTextChar">
    <w:name w:val="Comment Text Char"/>
    <w:basedOn w:val="DefaultParagraphFont"/>
    <w:link w:val="CommentText"/>
    <w:uiPriority w:val="99"/>
    <w:rsid w:val="006C4D37"/>
    <w:rPr>
      <w:sz w:val="20"/>
      <w:szCs w:val="20"/>
    </w:rPr>
  </w:style>
  <w:style w:type="paragraph" w:styleId="CommentSubject">
    <w:name w:val="annotation subject"/>
    <w:basedOn w:val="CommentText"/>
    <w:next w:val="CommentText"/>
    <w:link w:val="CommentSubjectChar"/>
    <w:uiPriority w:val="99"/>
    <w:semiHidden/>
    <w:unhideWhenUsed/>
    <w:rsid w:val="006C4D37"/>
    <w:rPr>
      <w:b/>
      <w:bCs/>
    </w:rPr>
  </w:style>
  <w:style w:type="character" w:customStyle="1" w:styleId="CommentSubjectChar">
    <w:name w:val="Comment Subject Char"/>
    <w:basedOn w:val="CommentTextChar"/>
    <w:link w:val="CommentSubject"/>
    <w:uiPriority w:val="99"/>
    <w:semiHidden/>
    <w:rsid w:val="006C4D37"/>
    <w:rPr>
      <w:b/>
      <w:bCs/>
      <w:sz w:val="20"/>
      <w:szCs w:val="20"/>
    </w:rPr>
  </w:style>
  <w:style w:type="character" w:styleId="FollowedHyperlink">
    <w:name w:val="FollowedHyperlink"/>
    <w:basedOn w:val="DefaultParagraphFont"/>
    <w:uiPriority w:val="99"/>
    <w:semiHidden/>
    <w:unhideWhenUsed/>
    <w:rsid w:val="00E60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hyperlink" Target="https://orcid.org/0000-0001-7137-5887"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footer" Target="footer1.xml"/><Relationship Id="rId17" Type="http://schemas.openxmlformats.org/officeDocument/2006/relationships/hyperlink" Target="mailto:c.coyle@ulster.ac.uk" TargetMode="External"/><Relationship Id="rId2" Type="http://schemas.openxmlformats.org/officeDocument/2006/relationships/settings" Target="settings.xml"/><Relationship Id="rId16" Type="http://schemas.openxmlformats.org/officeDocument/2006/relationships/hyperlink" Target="http://dx.doi.org/10.11645/20.1.872" TargetMode="External"/><Relationship Id="rId20" Type="http://schemas.openxmlformats.org/officeDocument/2006/relationships/hyperlink" Target="https://doi.org/10.1111/hir.12369"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twitter.com/cathalcoyle"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 Id="rId22"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Normal.dotm</Template>
  <TotalTime>148</TotalTime>
  <Pages>3</Pages>
  <Words>954</Words>
  <Characters>5583</Characters>
  <Application>Microsoft Office Word</Application>
  <DocSecurity>0</DocSecurity>
  <Lines>99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Coyle, Cathal</dc:creator>
  <cp:lastModifiedBy>Edwards, Amber</cp:lastModifiedBy>
  <cp:revision>65</cp:revision>
  <dcterms:created xsi:type="dcterms:W3CDTF">2026-02-25T21:28:00Z</dcterms:created>
  <dcterms:modified xsi:type="dcterms:W3CDTF">2026-05-29T13:06:00Z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5b583fc1-ba0e-453f-9e37-cccb968e94f5</vt:lpwstr>
  </property>
</Properties>
</file>