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5709" w14:textId="77777777" w:rsidR="00652C52" w:rsidRDefault="00652C52">
      <w:pPr>
        <w:rPr>
          <w:rFonts w:eastAsia="Arial" w:cs="Arial"/>
        </w:rPr>
      </w:pPr>
    </w:p>
    <w:p w14:paraId="6F35EC87" w14:textId="77777777" w:rsidR="00652C52" w:rsidRDefault="00652C52">
      <w:pPr>
        <w:jc w:val="both"/>
        <w:rPr>
          <w:rFonts w:eastAsia="Arial" w:cs="Arial"/>
          <w:b/>
          <w:color w:val="000000"/>
          <w:sz w:val="28"/>
          <w:szCs w:val="28"/>
        </w:rPr>
      </w:pPr>
    </w:p>
    <w:p w14:paraId="02BFE56B" w14:textId="77777777" w:rsidR="00652C52" w:rsidRDefault="00045DE4">
      <w:pPr>
        <w:jc w:val="both"/>
        <w:rPr>
          <w:rFonts w:eastAsia="Arial" w:cs="Arial"/>
          <w:b/>
          <w:color w:val="000000"/>
          <w:sz w:val="28"/>
          <w:szCs w:val="28"/>
        </w:rPr>
      </w:pPr>
      <w:r>
        <w:rPr>
          <w:rFonts w:eastAsia="Arial" w:cs="Arial"/>
          <w:b/>
          <w:color w:val="000000"/>
          <w:sz w:val="28"/>
          <w:szCs w:val="28"/>
        </w:rPr>
        <w:t>Book Review</w:t>
      </w:r>
    </w:p>
    <w:p w14:paraId="16D0DC6A" w14:textId="77777777" w:rsidR="00652C52" w:rsidRDefault="00652C52" w:rsidP="008E195D"/>
    <w:p w14:paraId="65A49E3B" w14:textId="03841637" w:rsidR="00652C52" w:rsidRDefault="00A365AB" w:rsidP="008E195D">
      <w:pPr>
        <w:keepNext/>
        <w:spacing w:before="120" w:after="80"/>
        <w:rPr>
          <w:rFonts w:eastAsia="Arial" w:cs="Arial"/>
          <w:b/>
          <w:sz w:val="24"/>
          <w:szCs w:val="24"/>
        </w:rPr>
      </w:pPr>
      <w:r>
        <w:rPr>
          <w:rFonts w:eastAsia="Arial" w:cs="Arial"/>
          <w:b/>
          <w:sz w:val="24"/>
          <w:szCs w:val="24"/>
        </w:rPr>
        <w:t>Blair</w:t>
      </w:r>
      <w:r w:rsidR="00045DE4">
        <w:rPr>
          <w:rFonts w:eastAsia="Arial" w:cs="Arial"/>
          <w:b/>
          <w:sz w:val="24"/>
          <w:szCs w:val="24"/>
        </w:rPr>
        <w:t xml:space="preserve">, </w:t>
      </w:r>
      <w:r>
        <w:rPr>
          <w:rFonts w:eastAsia="Arial" w:cs="Arial"/>
          <w:b/>
          <w:sz w:val="24"/>
          <w:szCs w:val="24"/>
        </w:rPr>
        <w:t>J</w:t>
      </w:r>
      <w:r w:rsidR="00045DE4">
        <w:rPr>
          <w:rFonts w:eastAsia="Arial" w:cs="Arial"/>
          <w:b/>
          <w:sz w:val="24"/>
          <w:szCs w:val="24"/>
        </w:rPr>
        <w:t>. 202</w:t>
      </w:r>
      <w:r>
        <w:rPr>
          <w:rFonts w:eastAsia="Arial" w:cs="Arial"/>
          <w:b/>
          <w:sz w:val="24"/>
          <w:szCs w:val="24"/>
        </w:rPr>
        <w:t>5</w:t>
      </w:r>
      <w:r w:rsidR="00045DE4">
        <w:rPr>
          <w:rFonts w:eastAsia="Arial" w:cs="Arial"/>
          <w:b/>
          <w:sz w:val="24"/>
          <w:szCs w:val="24"/>
        </w:rPr>
        <w:t xml:space="preserve">. </w:t>
      </w:r>
      <w:bookmarkStart w:id="0" w:name="_Hlk214283034"/>
      <w:r w:rsidR="00045DE4">
        <w:rPr>
          <w:rFonts w:eastAsia="Arial" w:cs="Arial"/>
          <w:b/>
          <w:sz w:val="24"/>
          <w:szCs w:val="24"/>
        </w:rPr>
        <w:t xml:space="preserve">Book </w:t>
      </w:r>
      <w:r w:rsidR="00F21653">
        <w:rPr>
          <w:rFonts w:eastAsia="Arial" w:cs="Arial"/>
          <w:b/>
          <w:sz w:val="24"/>
          <w:szCs w:val="24"/>
        </w:rPr>
        <w:t>r</w:t>
      </w:r>
      <w:r w:rsidR="00045DE4">
        <w:rPr>
          <w:rFonts w:eastAsia="Arial" w:cs="Arial"/>
          <w:b/>
          <w:sz w:val="24"/>
          <w:szCs w:val="24"/>
        </w:rPr>
        <w:t xml:space="preserve">eview of </w:t>
      </w:r>
      <w:r>
        <w:rPr>
          <w:rFonts w:eastAsia="Arial" w:cs="Arial"/>
          <w:b/>
          <w:sz w:val="24"/>
          <w:szCs w:val="24"/>
        </w:rPr>
        <w:t>DeJong, M.</w:t>
      </w:r>
      <w:r w:rsidR="00045DE4">
        <w:rPr>
          <w:rFonts w:eastAsia="Arial" w:cs="Arial"/>
          <w:b/>
          <w:sz w:val="24"/>
          <w:szCs w:val="24"/>
        </w:rPr>
        <w:t xml:space="preserve"> </w:t>
      </w:r>
      <w:r w:rsidR="00983D47">
        <w:rPr>
          <w:rFonts w:eastAsia="Arial" w:cs="Arial"/>
          <w:b/>
          <w:sz w:val="24"/>
          <w:szCs w:val="24"/>
        </w:rPr>
        <w:t>202</w:t>
      </w:r>
      <w:r>
        <w:rPr>
          <w:rFonts w:eastAsia="Arial" w:cs="Arial"/>
          <w:b/>
          <w:sz w:val="24"/>
          <w:szCs w:val="24"/>
        </w:rPr>
        <w:t>4</w:t>
      </w:r>
      <w:r w:rsidR="00045DE4">
        <w:rPr>
          <w:rFonts w:eastAsia="Arial" w:cs="Arial"/>
          <w:b/>
          <w:sz w:val="24"/>
          <w:szCs w:val="24"/>
        </w:rPr>
        <w:t xml:space="preserve">. </w:t>
      </w:r>
      <w:r w:rsidRPr="00A365AB">
        <w:rPr>
          <w:rFonts w:eastAsia="Arial" w:cs="Arial"/>
          <w:b/>
          <w:i/>
          <w:iCs/>
          <w:sz w:val="24"/>
          <w:szCs w:val="24"/>
        </w:rPr>
        <w:t>Information literacy for science and engineering students: Concepts and skills</w:t>
      </w:r>
      <w:r w:rsidR="00045DE4">
        <w:rPr>
          <w:rFonts w:eastAsia="Arial" w:cs="Arial"/>
          <w:b/>
          <w:sz w:val="24"/>
          <w:szCs w:val="24"/>
        </w:rPr>
        <w:t>.</w:t>
      </w:r>
      <w:r w:rsidR="00983D47">
        <w:rPr>
          <w:rFonts w:eastAsia="Arial" w:cs="Arial"/>
          <w:b/>
          <w:sz w:val="24"/>
          <w:szCs w:val="24"/>
        </w:rPr>
        <w:t xml:space="preserve"> </w:t>
      </w:r>
      <w:r>
        <w:rPr>
          <w:rFonts w:eastAsia="Arial" w:cs="Arial"/>
          <w:b/>
          <w:sz w:val="24"/>
          <w:szCs w:val="24"/>
        </w:rPr>
        <w:t>New York</w:t>
      </w:r>
      <w:r w:rsidR="00045DE4">
        <w:rPr>
          <w:rFonts w:eastAsia="Arial" w:cs="Arial"/>
          <w:b/>
          <w:sz w:val="24"/>
          <w:szCs w:val="24"/>
        </w:rPr>
        <w:t>:</w:t>
      </w:r>
      <w:r w:rsidR="00983D47">
        <w:rPr>
          <w:rFonts w:eastAsia="Arial" w:cs="Arial"/>
          <w:b/>
          <w:sz w:val="24"/>
          <w:szCs w:val="24"/>
        </w:rPr>
        <w:t xml:space="preserve"> </w:t>
      </w:r>
      <w:r>
        <w:rPr>
          <w:rFonts w:eastAsia="Arial" w:cs="Arial"/>
          <w:b/>
          <w:sz w:val="24"/>
          <w:szCs w:val="24"/>
        </w:rPr>
        <w:t>Bloomsbury Libraries Unlimited</w:t>
      </w:r>
      <w:r w:rsidR="00045DE4">
        <w:rPr>
          <w:rFonts w:eastAsia="Arial" w:cs="Arial"/>
          <w:b/>
          <w:sz w:val="24"/>
          <w:szCs w:val="24"/>
        </w:rPr>
        <w:t xml:space="preserve">. </w:t>
      </w:r>
      <w:bookmarkEnd w:id="0"/>
      <w:r w:rsidR="00045DE4">
        <w:rPr>
          <w:rFonts w:eastAsia="Arial" w:cs="Arial"/>
          <w:b/>
          <w:i/>
          <w:sz w:val="24"/>
          <w:szCs w:val="24"/>
        </w:rPr>
        <w:t>Journal of Information Literacy</w:t>
      </w:r>
      <w:r w:rsidR="00045DE4">
        <w:rPr>
          <w:rFonts w:eastAsia="Arial" w:cs="Arial"/>
          <w:b/>
          <w:sz w:val="24"/>
          <w:szCs w:val="24"/>
        </w:rPr>
        <w:t xml:space="preserve">, </w:t>
      </w:r>
      <w:r w:rsidR="008E195D" w:rsidRPr="00F21653">
        <w:rPr>
          <w:rFonts w:eastAsia="Arial" w:cs="Arial"/>
          <w:b/>
          <w:i/>
          <w:iCs/>
          <w:sz w:val="24"/>
          <w:szCs w:val="24"/>
        </w:rPr>
        <w:t>19</w:t>
      </w:r>
      <w:r w:rsidR="00045DE4">
        <w:rPr>
          <w:rFonts w:eastAsia="Arial" w:cs="Arial"/>
          <w:b/>
          <w:sz w:val="24"/>
          <w:szCs w:val="24"/>
        </w:rPr>
        <w:t>(</w:t>
      </w:r>
      <w:r w:rsidR="008E195D">
        <w:rPr>
          <w:rFonts w:eastAsia="Arial" w:cs="Arial"/>
          <w:b/>
          <w:sz w:val="24"/>
          <w:szCs w:val="24"/>
        </w:rPr>
        <w:t>2</w:t>
      </w:r>
      <w:r w:rsidR="00045DE4">
        <w:rPr>
          <w:rFonts w:eastAsia="Arial" w:cs="Arial"/>
          <w:b/>
          <w:sz w:val="24"/>
          <w:szCs w:val="24"/>
        </w:rPr>
        <w:t>), pp.</w:t>
      </w:r>
      <w:r w:rsidR="00F21653">
        <w:rPr>
          <w:rFonts w:eastAsia="Arial" w:cs="Arial"/>
          <w:b/>
          <w:sz w:val="24"/>
          <w:szCs w:val="24"/>
        </w:rPr>
        <w:t xml:space="preserve"> </w:t>
      </w:r>
      <w:r w:rsidR="002A7B16" w:rsidRPr="002A7B16">
        <w:rPr>
          <w:rFonts w:eastAsia="Arial" w:cs="Arial"/>
          <w:b/>
          <w:sz w:val="24"/>
          <w:szCs w:val="24"/>
        </w:rPr>
        <w:t>156</w:t>
      </w:r>
      <w:r w:rsidR="00F21653" w:rsidRPr="002A7B16">
        <w:rPr>
          <w:rFonts w:eastAsia="Arial" w:cs="Arial"/>
          <w:b/>
          <w:sz w:val="24"/>
          <w:szCs w:val="24"/>
        </w:rPr>
        <w:t>–</w:t>
      </w:r>
      <w:r w:rsidR="002A7B16" w:rsidRPr="002A7B16">
        <w:rPr>
          <w:rFonts w:eastAsia="Arial" w:cs="Arial"/>
          <w:b/>
          <w:sz w:val="24"/>
          <w:szCs w:val="24"/>
        </w:rPr>
        <w:t>157</w:t>
      </w:r>
      <w:r w:rsidR="00F21653" w:rsidRPr="00F21653">
        <w:rPr>
          <w:rFonts w:eastAsia="Arial" w:cs="Arial"/>
          <w:b/>
          <w:sz w:val="24"/>
          <w:szCs w:val="24"/>
        </w:rPr>
        <w:t>.</w:t>
      </w:r>
    </w:p>
    <w:p w14:paraId="77573876" w14:textId="25F05FDE" w:rsidR="00652C52" w:rsidRPr="008E195D" w:rsidRDefault="00101FD5">
      <w:pPr>
        <w:spacing w:before="120" w:after="80"/>
        <w:jc w:val="both"/>
        <w:rPr>
          <w:rFonts w:eastAsia="Arial" w:cs="Arial"/>
          <w:b/>
          <w:iCs/>
          <w:sz w:val="24"/>
          <w:szCs w:val="24"/>
        </w:rPr>
        <w:sectPr w:rsidR="00652C52" w:rsidRPr="008E195D" w:rsidSect="002A7B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56"/>
          <w:cols w:space="720"/>
          <w:titlePg/>
        </w:sectPr>
      </w:pPr>
      <w:hyperlink r:id="rId12" w:history="1">
        <w:r w:rsidRPr="001D2FCC">
          <w:rPr>
            <w:rStyle w:val="Hyperlink"/>
            <w:rFonts w:eastAsia="Arial" w:cs="Arial"/>
            <w:b/>
            <w:iCs/>
            <w:sz w:val="24"/>
            <w:szCs w:val="24"/>
          </w:rPr>
          <w:t>http://dx.doi.org/10.11645/19.2.808</w:t>
        </w:r>
      </w:hyperlink>
    </w:p>
    <w:p w14:paraId="681E10CF" w14:textId="77777777" w:rsidR="00652C52" w:rsidRDefault="00652C52">
      <w:pPr>
        <w:sectPr w:rsidR="00652C52">
          <w:type w:val="continuous"/>
          <w:pgSz w:w="12240" w:h="15840"/>
          <w:pgMar w:top="1440" w:right="1440" w:bottom="1440" w:left="1440" w:header="720" w:footer="720" w:gutter="0"/>
          <w:cols w:num="2" w:sep="1" w:space="720" w:equalWidth="0">
            <w:col w:w="4320" w:space="720"/>
            <w:col w:w="4320" w:space="0"/>
          </w:cols>
        </w:sectPr>
      </w:pPr>
    </w:p>
    <w:p w14:paraId="6477BE79" w14:textId="74BE049A" w:rsidR="00652C52" w:rsidRDefault="00101FD5">
      <w:pPr>
        <w:keepNext/>
        <w:keepLines/>
        <w:pBdr>
          <w:top w:val="nil"/>
          <w:left w:val="nil"/>
          <w:bottom w:val="nil"/>
          <w:right w:val="nil"/>
          <w:between w:val="nil"/>
        </w:pBdr>
        <w:rPr>
          <w:rFonts w:eastAsia="Arial" w:cs="Arial"/>
          <w:b/>
          <w:color w:val="000000"/>
        </w:rPr>
      </w:pPr>
      <w:r>
        <w:rPr>
          <w:rFonts w:eastAsia="Arial" w:cs="Arial"/>
          <w:b/>
          <w:color w:val="000000"/>
        </w:rPr>
        <w:t>Joanna</w:t>
      </w:r>
      <w:r w:rsidR="00045DE4">
        <w:rPr>
          <w:rFonts w:eastAsia="Arial" w:cs="Arial"/>
          <w:b/>
          <w:color w:val="000000"/>
        </w:rPr>
        <w:t xml:space="preserve"> B</w:t>
      </w:r>
      <w:r>
        <w:rPr>
          <w:rFonts w:eastAsia="Arial" w:cs="Arial"/>
          <w:b/>
          <w:color w:val="000000"/>
        </w:rPr>
        <w:t>lair</w:t>
      </w:r>
    </w:p>
    <w:p w14:paraId="60D309A9" w14:textId="7124C5F5" w:rsidR="00574918" w:rsidRDefault="00101FD5">
      <w:pPr>
        <w:keepNext/>
        <w:keepLines/>
        <w:pBdr>
          <w:top w:val="nil"/>
          <w:left w:val="nil"/>
          <w:bottom w:val="nil"/>
          <w:right w:val="nil"/>
          <w:between w:val="nil"/>
        </w:pBdr>
        <w:rPr>
          <w:rFonts w:eastAsia="Arial" w:cs="Arial"/>
          <w:color w:val="000000"/>
        </w:rPr>
      </w:pPr>
      <w:r>
        <w:rPr>
          <w:rFonts w:eastAsia="Arial" w:cs="Arial"/>
          <w:bCs/>
          <w:color w:val="000000"/>
        </w:rPr>
        <w:t>Liaison Librarian, Science, Wilfrid Laurier University Library</w:t>
      </w:r>
      <w:r w:rsidR="00045DE4">
        <w:rPr>
          <w:rFonts w:eastAsia="Arial" w:cs="Arial"/>
          <w:color w:val="000000"/>
        </w:rPr>
        <w:t>.</w:t>
      </w:r>
    </w:p>
    <w:p w14:paraId="1B269334" w14:textId="5971EE11" w:rsidR="00652C52" w:rsidRPr="00574918" w:rsidRDefault="00045DE4">
      <w:pPr>
        <w:keepNext/>
        <w:keepLines/>
        <w:pBdr>
          <w:top w:val="nil"/>
          <w:left w:val="nil"/>
          <w:bottom w:val="nil"/>
          <w:right w:val="nil"/>
          <w:between w:val="nil"/>
        </w:pBdr>
        <w:rPr>
          <w:rFonts w:eastAsia="Arial" w:cs="Arial"/>
          <w:bCs/>
          <w:color w:val="000000"/>
        </w:rPr>
      </w:pPr>
      <w:r>
        <w:rPr>
          <w:rFonts w:eastAsia="Arial" w:cs="Arial"/>
          <w:color w:val="000000"/>
        </w:rPr>
        <w:t>Email</w:t>
      </w:r>
      <w:r w:rsidR="00574918">
        <w:rPr>
          <w:rFonts w:eastAsia="Arial" w:cs="Arial"/>
          <w:color w:val="000000"/>
        </w:rPr>
        <w:t>:</w:t>
      </w:r>
      <w:r w:rsidR="00101FD5">
        <w:rPr>
          <w:rFonts w:eastAsia="Arial" w:cs="Arial"/>
          <w:color w:val="000000"/>
        </w:rPr>
        <w:t xml:space="preserve"> </w:t>
      </w:r>
      <w:hyperlink r:id="rId13" w:history="1">
        <w:r w:rsidR="00101FD5" w:rsidRPr="001D2FCC">
          <w:rPr>
            <w:rStyle w:val="Hyperlink"/>
            <w:rFonts w:eastAsia="Arial" w:cs="Arial"/>
          </w:rPr>
          <w:t>joblair@wlu.ca</w:t>
        </w:r>
      </w:hyperlink>
      <w:r w:rsidR="00101FD5">
        <w:rPr>
          <w:rFonts w:eastAsia="Arial" w:cs="Arial"/>
          <w:color w:val="000000"/>
        </w:rPr>
        <w:t>.</w:t>
      </w:r>
      <w:r w:rsidR="00A365AB">
        <w:rPr>
          <w:rFonts w:eastAsia="Arial" w:cs="Arial"/>
          <w:color w:val="000000"/>
        </w:rPr>
        <w:t xml:space="preserve"> </w:t>
      </w:r>
      <w:r w:rsidR="00101FD5">
        <w:rPr>
          <w:rFonts w:eastAsia="Arial" w:cs="Arial"/>
          <w:color w:val="000000"/>
        </w:rPr>
        <w:t xml:space="preserve"> </w:t>
      </w:r>
    </w:p>
    <w:p w14:paraId="2C9FE00B" w14:textId="77777777" w:rsidR="00652C52" w:rsidRDefault="00652C52"/>
    <w:p w14:paraId="4C223334" w14:textId="3E5FE96F" w:rsidR="00652C52" w:rsidRPr="00984F29" w:rsidRDefault="00F532FC" w:rsidP="00984F29">
      <w:pPr>
        <w:keepNext/>
        <w:keepLines/>
        <w:pBdr>
          <w:top w:val="nil"/>
          <w:left w:val="nil"/>
          <w:bottom w:val="nil"/>
          <w:right w:val="nil"/>
          <w:between w:val="nil"/>
        </w:pBdr>
        <w:spacing w:after="200"/>
        <w:rPr>
          <w:b/>
          <w:color w:val="000000"/>
          <w:sz w:val="28"/>
          <w:szCs w:val="28"/>
        </w:rPr>
        <w:sectPr w:rsidR="00652C52" w:rsidRPr="00984F29">
          <w:type w:val="continuous"/>
          <w:pgSz w:w="12240" w:h="15840"/>
          <w:pgMar w:top="1440" w:right="1440" w:bottom="1440" w:left="1440" w:header="720" w:footer="720" w:gutter="0"/>
          <w:cols w:num="2" w:sep="1" w:space="720" w:equalWidth="0">
            <w:col w:w="4320" w:space="720"/>
            <w:col w:w="4320" w:space="0"/>
          </w:cols>
        </w:sectPr>
      </w:pPr>
      <w:r>
        <w:rPr>
          <w:rFonts w:eastAsia="Arial" w:cs="Arial"/>
        </w:rPr>
        <w:t>DeJong</w:t>
      </w:r>
      <w:r w:rsidR="00045DE4">
        <w:rPr>
          <w:rFonts w:eastAsia="Arial" w:cs="Arial"/>
        </w:rPr>
        <w:t xml:space="preserve">, </w:t>
      </w:r>
      <w:r>
        <w:rPr>
          <w:rFonts w:eastAsia="Arial" w:cs="Arial"/>
        </w:rPr>
        <w:t>M</w:t>
      </w:r>
      <w:r w:rsidR="00045DE4">
        <w:rPr>
          <w:rFonts w:eastAsia="Arial" w:cs="Arial"/>
        </w:rPr>
        <w:t>. (202</w:t>
      </w:r>
      <w:r>
        <w:rPr>
          <w:rFonts w:eastAsia="Arial" w:cs="Arial"/>
        </w:rPr>
        <w:t>4</w:t>
      </w:r>
      <w:r w:rsidR="00045DE4">
        <w:rPr>
          <w:rFonts w:eastAsia="Arial" w:cs="Arial"/>
        </w:rPr>
        <w:t xml:space="preserve">). </w:t>
      </w:r>
      <w:r w:rsidRPr="00F532FC">
        <w:rPr>
          <w:rFonts w:eastAsia="Arial" w:cs="Arial"/>
          <w:i/>
          <w:iCs/>
        </w:rPr>
        <w:t>Information literacy for science and engineering students: Concepts and skills</w:t>
      </w:r>
      <w:r w:rsidRPr="00F532FC">
        <w:rPr>
          <w:rFonts w:eastAsia="Arial" w:cs="Arial"/>
        </w:rPr>
        <w:t xml:space="preserve">. New York: Bloomsbury Libraries Unlimited. </w:t>
      </w:r>
      <w:r>
        <w:rPr>
          <w:rFonts w:eastAsia="Arial" w:cs="Arial"/>
        </w:rPr>
        <w:t>p</w:t>
      </w:r>
      <w:r w:rsidR="00045DE4">
        <w:rPr>
          <w:rFonts w:eastAsia="Arial" w:cs="Arial"/>
        </w:rPr>
        <w:t xml:space="preserve">p. </w:t>
      </w:r>
      <w:r>
        <w:rPr>
          <w:rFonts w:eastAsia="Arial" w:cs="Arial"/>
        </w:rPr>
        <w:t>332</w:t>
      </w:r>
      <w:r w:rsidR="00045DE4">
        <w:rPr>
          <w:rFonts w:eastAsia="Arial" w:cs="Arial"/>
        </w:rPr>
        <w:t xml:space="preserve">. ISBN </w:t>
      </w:r>
      <w:r w:rsidRPr="00F532FC">
        <w:rPr>
          <w:rFonts w:eastAsia="Arial" w:cs="Arial"/>
        </w:rPr>
        <w:t>9781440878763</w:t>
      </w:r>
      <w:r w:rsidR="00045DE4">
        <w:rPr>
          <w:rFonts w:eastAsia="Arial" w:cs="Arial"/>
        </w:rPr>
        <w:t>. £</w:t>
      </w:r>
      <w:r>
        <w:rPr>
          <w:rFonts w:eastAsia="Arial" w:cs="Arial"/>
        </w:rPr>
        <w:t>48</w:t>
      </w:r>
      <w:r w:rsidR="00045DE4">
        <w:rPr>
          <w:rFonts w:eastAsia="Arial" w:cs="Arial"/>
        </w:rPr>
        <w:t>.</w:t>
      </w:r>
      <w:r>
        <w:rPr>
          <w:rFonts w:eastAsia="Arial" w:cs="Arial"/>
        </w:rPr>
        <w:t>99</w:t>
      </w:r>
      <w:r w:rsidR="00045DE4">
        <w:rPr>
          <w:rFonts w:eastAsia="Arial" w:cs="Arial"/>
        </w:rPr>
        <w:t xml:space="preserve">. </w:t>
      </w:r>
      <w:proofErr w:type="spellStart"/>
      <w:r>
        <w:rPr>
          <w:rFonts w:eastAsia="Arial" w:cs="Arial"/>
        </w:rPr>
        <w:t>P</w:t>
      </w:r>
      <w:r w:rsidR="00045DE4">
        <w:rPr>
          <w:rFonts w:eastAsia="Arial" w:cs="Arial"/>
        </w:rPr>
        <w:t>bk</w:t>
      </w:r>
      <w:proofErr w:type="spellEnd"/>
      <w:r w:rsidR="00105682">
        <w:rPr>
          <w:rFonts w:eastAsia="Arial" w:cs="Arial"/>
        </w:rPr>
        <w:t>.</w:t>
      </w:r>
    </w:p>
    <w:p w14:paraId="57132D27" w14:textId="77777777" w:rsidR="00652C52" w:rsidRDefault="00652C52" w:rsidP="00984F29"/>
    <w:p w14:paraId="6BDF65C8" w14:textId="02240E21" w:rsidR="00685528" w:rsidRPr="00685528" w:rsidRDefault="00685528" w:rsidP="00685528">
      <w:pPr>
        <w:rPr>
          <w:shd w:val="clear" w:color="auto" w:fill="FFFFFF"/>
        </w:rPr>
      </w:pPr>
      <w:r w:rsidRPr="00685528">
        <w:rPr>
          <w:i/>
          <w:iCs/>
          <w:shd w:val="clear" w:color="auto" w:fill="FFFFFF"/>
        </w:rPr>
        <w:t>Information literacy for science and engineering students: Concepts and skills</w:t>
      </w:r>
      <w:r w:rsidRPr="00685528">
        <w:rPr>
          <w:shd w:val="clear" w:color="auto" w:fill="FFFFFF"/>
        </w:rPr>
        <w:t xml:space="preserve"> </w:t>
      </w:r>
      <w:proofErr w:type="gramStart"/>
      <w:r w:rsidRPr="00685528">
        <w:rPr>
          <w:shd w:val="clear" w:color="auto" w:fill="FFFFFF"/>
        </w:rPr>
        <w:t>provides</w:t>
      </w:r>
      <w:proofErr w:type="gramEnd"/>
      <w:r w:rsidRPr="00685528">
        <w:rPr>
          <w:shd w:val="clear" w:color="auto" w:fill="FFFFFF"/>
        </w:rPr>
        <w:t xml:space="preserve"> an excellent overview of information literacy (IL) skills for the sciences aimed at early undergraduate students. This work is divided into eight sections and thoroughly explains different scholarly formats in the sciences, search strategies, search tools, access, and citations. This text speaks thoughtfully to undergraduate students by including many real-life examples throughout the book as well as chapters on essential skills such as selecting an appropriate topic and decoding research assignments. Playful images and speech bubbles throughout the book add to the approachability of the material and may make the book more welcome </w:t>
      </w:r>
      <w:r w:rsidR="009C3785">
        <w:rPr>
          <w:shd w:val="clear" w:color="auto" w:fill="FFFFFF"/>
        </w:rPr>
        <w:t>to</w:t>
      </w:r>
      <w:r w:rsidRPr="00685528">
        <w:rPr>
          <w:shd w:val="clear" w:color="auto" w:fill="FFFFFF"/>
        </w:rPr>
        <w:t xml:space="preserve"> undergraduates. This book would be a very useful textbook for an entry-level credit course on scholarly research in the sciences.</w:t>
      </w:r>
    </w:p>
    <w:p w14:paraId="74509E77" w14:textId="77777777" w:rsidR="00685528" w:rsidRPr="00685528" w:rsidRDefault="00685528" w:rsidP="00685528">
      <w:pPr>
        <w:rPr>
          <w:shd w:val="clear" w:color="auto" w:fill="FFFFFF"/>
        </w:rPr>
      </w:pPr>
    </w:p>
    <w:p w14:paraId="43E9572C" w14:textId="5744027E" w:rsidR="00685528" w:rsidRDefault="00685528" w:rsidP="00685528">
      <w:pPr>
        <w:rPr>
          <w:shd w:val="clear" w:color="auto" w:fill="FFFFFF"/>
        </w:rPr>
      </w:pPr>
      <w:r w:rsidRPr="00685528">
        <w:rPr>
          <w:shd w:val="clear" w:color="auto" w:fill="FFFFFF"/>
        </w:rPr>
        <w:t xml:space="preserve">An area of strength for this textbook is the wealth of practical advice. In every chapter, readers are encouraged to reach out to library staff if they have any research questions. The chapter on </w:t>
      </w:r>
      <w:r w:rsidRPr="00685528">
        <w:rPr>
          <w:i/>
          <w:iCs/>
          <w:shd w:val="clear" w:color="auto" w:fill="FFFFFF"/>
        </w:rPr>
        <w:t>Decoding Research Assignments</w:t>
      </w:r>
      <w:r w:rsidRPr="00685528">
        <w:rPr>
          <w:shd w:val="clear" w:color="auto" w:fill="FFFFFF"/>
        </w:rPr>
        <w:t xml:space="preserve"> lists dozens of common research assignment instructions with appropriate clarifying questions for students to ask their professors. The book also acknowledges Google as a legitimate tool for research and lists Google Scholar as a database in the chapter </w:t>
      </w:r>
      <w:r w:rsidRPr="00685528">
        <w:rPr>
          <w:i/>
          <w:iCs/>
          <w:shd w:val="clear" w:color="auto" w:fill="FFFFFF"/>
        </w:rPr>
        <w:t>All about Databases</w:t>
      </w:r>
      <w:r w:rsidRPr="00685528">
        <w:rPr>
          <w:shd w:val="clear" w:color="auto" w:fill="FFFFFF"/>
        </w:rPr>
        <w:t xml:space="preserve">. The inclusion of these commonly used tools undoubtedly will resonate with today’s students and help them make important connections between their scholarly research and personal information-seeking practices. Practical advice such as how many databases to search and in what situation it is appropriate to choose the discovery layer over a disciplinary database are also great tips to get students started in the right place and to save them time. </w:t>
      </w:r>
    </w:p>
    <w:p w14:paraId="6383773F" w14:textId="77777777" w:rsidR="00567826" w:rsidRPr="00685528" w:rsidRDefault="00567826" w:rsidP="00685528">
      <w:pPr>
        <w:rPr>
          <w:shd w:val="clear" w:color="auto" w:fill="FFFFFF"/>
        </w:rPr>
      </w:pPr>
    </w:p>
    <w:p w14:paraId="69C217D6" w14:textId="77777777" w:rsidR="00685528" w:rsidRPr="00685528" w:rsidRDefault="00685528" w:rsidP="00685528">
      <w:pPr>
        <w:rPr>
          <w:shd w:val="clear" w:color="auto" w:fill="FFFFFF"/>
        </w:rPr>
      </w:pPr>
      <w:r w:rsidRPr="00685528">
        <w:rPr>
          <w:shd w:val="clear" w:color="auto" w:fill="FFFFFF"/>
        </w:rPr>
        <w:t xml:space="preserve">While presenting information about databases, the author adds helpful screenshots of search fields and facets. The bulk of this book is focused on deconstructing the sources and the tools </w:t>
      </w:r>
      <w:r w:rsidRPr="00685528">
        <w:rPr>
          <w:shd w:val="clear" w:color="auto" w:fill="FFFFFF"/>
        </w:rPr>
        <w:lastRenderedPageBreak/>
        <w:t xml:space="preserve">used for literature searches and it isn’t until </w:t>
      </w:r>
      <w:r w:rsidRPr="00685528">
        <w:rPr>
          <w:i/>
          <w:iCs/>
          <w:shd w:val="clear" w:color="auto" w:fill="FFFFFF"/>
        </w:rPr>
        <w:t>Section VI</w:t>
      </w:r>
      <w:r w:rsidRPr="00685528">
        <w:rPr>
          <w:shd w:val="clear" w:color="auto" w:fill="FFFFFF"/>
        </w:rPr>
        <w:t xml:space="preserve"> and page 229 that the author switches to how to construct an effective search using synonyms and Boolean search techniques. Like other chapters of this book, the chapter on searching is detailed and well-explained but when reading it cover to cover, it felt like a long wait to get to this important section.</w:t>
      </w:r>
    </w:p>
    <w:p w14:paraId="56195950" w14:textId="77777777" w:rsidR="00685528" w:rsidRPr="00685528" w:rsidRDefault="00685528" w:rsidP="00685528">
      <w:pPr>
        <w:rPr>
          <w:shd w:val="clear" w:color="auto" w:fill="FFFFFF"/>
        </w:rPr>
      </w:pPr>
    </w:p>
    <w:p w14:paraId="25843379" w14:textId="127AC16D" w:rsidR="00685528" w:rsidRPr="00685528" w:rsidRDefault="00685528" w:rsidP="00685528">
      <w:pPr>
        <w:rPr>
          <w:shd w:val="clear" w:color="auto" w:fill="FFFFFF"/>
        </w:rPr>
      </w:pPr>
      <w:r w:rsidRPr="00685528">
        <w:rPr>
          <w:shd w:val="clear" w:color="auto" w:fill="FFFFFF"/>
        </w:rPr>
        <w:t>One area that could have been expanded upon was information about Critical</w:t>
      </w:r>
      <w:r w:rsidR="00734EB4">
        <w:rPr>
          <w:shd w:val="clear" w:color="auto" w:fill="FFFFFF"/>
        </w:rPr>
        <w:t xml:space="preserve"> IL</w:t>
      </w:r>
      <w:r w:rsidRPr="00685528">
        <w:rPr>
          <w:shd w:val="clear" w:color="auto" w:fill="FFFFFF"/>
        </w:rPr>
        <w:t xml:space="preserve"> in the sciences. </w:t>
      </w:r>
      <w:r w:rsidRPr="00685528">
        <w:rPr>
          <w:i/>
          <w:iCs/>
          <w:shd w:val="clear" w:color="auto" w:fill="FFFFFF"/>
        </w:rPr>
        <w:t>Chapter 14. Scholarly Sources</w:t>
      </w:r>
      <w:r w:rsidRPr="00685528">
        <w:rPr>
          <w:shd w:val="clear" w:color="auto" w:fill="FFFFFF"/>
        </w:rPr>
        <w:t xml:space="preserve"> includes a breakdown of the features of a scholarly source and mentions that the writing tends to be “neutral and unemotional</w:t>
      </w:r>
      <w:r w:rsidR="009C3785">
        <w:rPr>
          <w:shd w:val="clear" w:color="auto" w:fill="FFFFFF"/>
        </w:rPr>
        <w:t>”</w:t>
      </w:r>
      <w:r w:rsidR="006D17F5">
        <w:rPr>
          <w:shd w:val="clear" w:color="auto" w:fill="FFFFFF"/>
        </w:rPr>
        <w:t xml:space="preserve"> (DeJong, 2024, p. 122)</w:t>
      </w:r>
      <w:r w:rsidRPr="00685528">
        <w:rPr>
          <w:shd w:val="clear" w:color="auto" w:fill="FFFFFF"/>
        </w:rPr>
        <w:t xml:space="preserve">. There is, however, no follow up on this statement about possible bias or conflict of interest in the research.  While </w:t>
      </w:r>
      <w:r w:rsidRPr="00685528">
        <w:rPr>
          <w:i/>
          <w:iCs/>
          <w:shd w:val="clear" w:color="auto" w:fill="FFFFFF"/>
        </w:rPr>
        <w:t>Chapter 20. All About Databases</w:t>
      </w:r>
      <w:r w:rsidRPr="00685528">
        <w:rPr>
          <w:shd w:val="clear" w:color="auto" w:fill="FFFFFF"/>
        </w:rPr>
        <w:t xml:space="preserve"> does mention the Matthew effect </w:t>
      </w:r>
      <w:r w:rsidR="006D17F5">
        <w:rPr>
          <w:shd w:val="clear" w:color="auto" w:fill="FFFFFF"/>
        </w:rPr>
        <w:t>(DeJong, 2024, p. 202)</w:t>
      </w:r>
      <w:r w:rsidRPr="00685528">
        <w:rPr>
          <w:shd w:val="clear" w:color="auto" w:fill="FFFFFF"/>
        </w:rPr>
        <w:t>, this topic is not expanded upon and there is no discussion of citation bias. Open access and author’s rights is another area that would have been a good follow up chapter to the extensive breakdown of all</w:t>
      </w:r>
      <w:r w:rsidR="009C3785">
        <w:rPr>
          <w:shd w:val="clear" w:color="auto" w:fill="FFFFFF"/>
        </w:rPr>
        <w:t xml:space="preserve"> </w:t>
      </w:r>
      <w:r w:rsidRPr="00685528">
        <w:rPr>
          <w:shd w:val="clear" w:color="auto" w:fill="FFFFFF"/>
        </w:rPr>
        <w:t xml:space="preserve">the different formats but perhaps that is better placed in a textbook aimed at more advanced students or focused on </w:t>
      </w:r>
      <w:r w:rsidR="009C3785">
        <w:rPr>
          <w:shd w:val="clear" w:color="auto" w:fill="FFFFFF"/>
        </w:rPr>
        <w:t>s</w:t>
      </w:r>
      <w:r w:rsidRPr="00685528">
        <w:rPr>
          <w:shd w:val="clear" w:color="auto" w:fill="FFFFFF"/>
        </w:rPr>
        <w:t xml:space="preserve">cholarly </w:t>
      </w:r>
      <w:r w:rsidR="009C3785">
        <w:rPr>
          <w:shd w:val="clear" w:color="auto" w:fill="FFFFFF"/>
        </w:rPr>
        <w:t>c</w:t>
      </w:r>
      <w:r w:rsidRPr="00685528">
        <w:rPr>
          <w:shd w:val="clear" w:color="auto" w:fill="FFFFFF"/>
        </w:rPr>
        <w:t xml:space="preserve">ommunication. Open access and the open science movement is covered briefly in </w:t>
      </w:r>
      <w:r w:rsidRPr="00685528">
        <w:rPr>
          <w:i/>
          <w:iCs/>
          <w:shd w:val="clear" w:color="auto" w:fill="FFFFFF"/>
        </w:rPr>
        <w:t>Appendix C</w:t>
      </w:r>
      <w:r w:rsidRPr="00685528">
        <w:rPr>
          <w:shd w:val="clear" w:color="auto" w:fill="FFFFFF"/>
        </w:rPr>
        <w:t xml:space="preserve"> but could have found a place in the main text.  </w:t>
      </w:r>
    </w:p>
    <w:p w14:paraId="5BB76187" w14:textId="77777777" w:rsidR="00685528" w:rsidRPr="00685528" w:rsidRDefault="00685528" w:rsidP="00685528">
      <w:pPr>
        <w:rPr>
          <w:shd w:val="clear" w:color="auto" w:fill="FFFFFF"/>
        </w:rPr>
      </w:pPr>
    </w:p>
    <w:p w14:paraId="25255734" w14:textId="0A52EA01" w:rsidR="00685528" w:rsidRPr="00685528" w:rsidRDefault="00685528" w:rsidP="00685528">
      <w:pPr>
        <w:rPr>
          <w:shd w:val="clear" w:color="auto" w:fill="FFFFFF"/>
        </w:rPr>
      </w:pPr>
      <w:r w:rsidRPr="00685528">
        <w:rPr>
          <w:shd w:val="clear" w:color="auto" w:fill="FFFFFF"/>
        </w:rPr>
        <w:t xml:space="preserve">As an </w:t>
      </w:r>
      <w:r w:rsidR="00734EB4">
        <w:rPr>
          <w:shd w:val="clear" w:color="auto" w:fill="FFFFFF"/>
        </w:rPr>
        <w:t>IL</w:t>
      </w:r>
      <w:r w:rsidRPr="00685528">
        <w:rPr>
          <w:shd w:val="clear" w:color="auto" w:fill="FFFFFF"/>
        </w:rPr>
        <w:t xml:space="preserve"> instructor in the sciences this book was a helpful read and provided an excellent opportunity to reflect on my practice in the classroom with beginner students. </w:t>
      </w:r>
      <w:proofErr w:type="gramStart"/>
      <w:r w:rsidRPr="00685528">
        <w:rPr>
          <w:shd w:val="clear" w:color="auto" w:fill="FFFFFF"/>
        </w:rPr>
        <w:t xml:space="preserve">In particular, </w:t>
      </w:r>
      <w:r w:rsidRPr="00685528">
        <w:rPr>
          <w:i/>
          <w:iCs/>
          <w:shd w:val="clear" w:color="auto" w:fill="FFFFFF"/>
        </w:rPr>
        <w:t>Part II</w:t>
      </w:r>
      <w:proofErr w:type="gramEnd"/>
      <w:r w:rsidRPr="00685528">
        <w:rPr>
          <w:i/>
          <w:iCs/>
          <w:shd w:val="clear" w:color="auto" w:fill="FFFFFF"/>
        </w:rPr>
        <w:t>. Sources: Their Functions, Distinctions, and Where to Find Them</w:t>
      </w:r>
      <w:r w:rsidRPr="00685528">
        <w:rPr>
          <w:shd w:val="clear" w:color="auto" w:fill="FFFFFF"/>
        </w:rPr>
        <w:t xml:space="preserve">, made me consider how much class time I put into teaching students about different formats and the importance of selecting the right format. This section was 100 pages long and approximately one third of the entire book. Scholarly research in the sciences is very much focused on peer-reviewed literature, and this section provided an excellent reminder that teaching students about other scholarly formats is providing a great service. </w:t>
      </w:r>
    </w:p>
    <w:p w14:paraId="248F3398" w14:textId="77777777" w:rsidR="00685528" w:rsidRPr="00685528" w:rsidRDefault="00685528" w:rsidP="00685528">
      <w:pPr>
        <w:rPr>
          <w:shd w:val="clear" w:color="auto" w:fill="FFFFFF"/>
        </w:rPr>
      </w:pPr>
    </w:p>
    <w:p w14:paraId="55077A6E" w14:textId="248B52A4" w:rsidR="00105682" w:rsidRDefault="00685528" w:rsidP="00685528">
      <w:pPr>
        <w:rPr>
          <w:shd w:val="clear" w:color="auto" w:fill="FFFFFF"/>
        </w:rPr>
      </w:pPr>
      <w:r w:rsidRPr="00685528">
        <w:rPr>
          <w:shd w:val="clear" w:color="auto" w:fill="FFFFFF"/>
        </w:rPr>
        <w:t xml:space="preserve">Overall, </w:t>
      </w:r>
      <w:r w:rsidRPr="00685528">
        <w:rPr>
          <w:i/>
          <w:iCs/>
          <w:shd w:val="clear" w:color="auto" w:fill="FFFFFF"/>
        </w:rPr>
        <w:t>Information literacy for science and engineering students: Concepts and skills</w:t>
      </w:r>
      <w:r w:rsidRPr="00685528">
        <w:rPr>
          <w:shd w:val="clear" w:color="auto" w:fill="FFFFFF"/>
        </w:rPr>
        <w:t xml:space="preserve"> is a well-structured resource to effectively support early undergraduate learners in developing foundational research competencies. Its approachable tone and emphasis on real-world examples make it particularly suitable for introductory courses and for Science Librarians, it also offers an excellent framework for reflecting on teaching strategies. The clarity and relevance of the text </w:t>
      </w:r>
      <w:proofErr w:type="gramStart"/>
      <w:r w:rsidRPr="00685528">
        <w:rPr>
          <w:shd w:val="clear" w:color="auto" w:fill="FFFFFF"/>
        </w:rPr>
        <w:t>makes</w:t>
      </w:r>
      <w:proofErr w:type="gramEnd"/>
      <w:r w:rsidRPr="00685528">
        <w:rPr>
          <w:shd w:val="clear" w:color="auto" w:fill="FFFFFF"/>
        </w:rPr>
        <w:t xml:space="preserve"> this work an overall valuable tool.</w:t>
      </w:r>
    </w:p>
    <w:p w14:paraId="3EABCE3F" w14:textId="77777777" w:rsidR="00BB369B" w:rsidRDefault="00BB369B" w:rsidP="00685528">
      <w:pPr>
        <w:rPr>
          <w:shd w:val="clear" w:color="auto" w:fill="FFFFFF"/>
        </w:rPr>
      </w:pPr>
    </w:p>
    <w:p w14:paraId="32FAEA94" w14:textId="77777777" w:rsidR="00BB369B" w:rsidRPr="00105682" w:rsidRDefault="00BB369B" w:rsidP="00BB369B">
      <w:pPr>
        <w:pStyle w:val="Heading2"/>
        <w:spacing w:before="0" w:after="200"/>
        <w:rPr>
          <w:color w:val="000000"/>
          <w:sz w:val="28"/>
          <w:szCs w:val="28"/>
        </w:rPr>
      </w:pPr>
      <w:r w:rsidRPr="00105682">
        <w:rPr>
          <w:sz w:val="28"/>
          <w:szCs w:val="28"/>
        </w:rPr>
        <w:t>References</w:t>
      </w:r>
    </w:p>
    <w:p w14:paraId="7C6111F5" w14:textId="63D279DD" w:rsidR="00BB369B" w:rsidRPr="00685528" w:rsidRDefault="007B73B6" w:rsidP="007B73B6">
      <w:pPr>
        <w:pStyle w:val="BodyTextIndent"/>
        <w:rPr>
          <w:shd w:val="clear" w:color="auto" w:fill="FFFFFF"/>
        </w:rPr>
      </w:pPr>
      <w:r>
        <w:t xml:space="preserve">DeJong, M. (2024). </w:t>
      </w:r>
      <w:r w:rsidRPr="007B73B6">
        <w:rPr>
          <w:i/>
          <w:iCs/>
        </w:rPr>
        <w:t>Information literacy for science and engineering students: Concepts and skills</w:t>
      </w:r>
      <w:r>
        <w:t>. New York: Bloomsbury Libraries Unlimited.</w:t>
      </w:r>
    </w:p>
    <w:sectPr w:rsidR="00BB369B" w:rsidRPr="0068552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0493" w14:textId="77777777" w:rsidR="003C2120" w:rsidRDefault="003C2120">
      <w:r>
        <w:separator/>
      </w:r>
    </w:p>
  </w:endnote>
  <w:endnote w:type="continuationSeparator" w:id="0">
    <w:p w14:paraId="5BEB2050" w14:textId="77777777" w:rsidR="003C2120" w:rsidRDefault="003C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75C6" w14:textId="77777777" w:rsidR="00652C52" w:rsidRDefault="00652C5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3585" w14:textId="20F94F1A" w:rsidR="00652C52" w:rsidRPr="00045DE4" w:rsidRDefault="00045DE4">
    <w:pPr>
      <w:pBdr>
        <w:top w:val="nil"/>
        <w:left w:val="nil"/>
        <w:bottom w:val="nil"/>
        <w:right w:val="nil"/>
        <w:between w:val="nil"/>
      </w:pBdr>
      <w:tabs>
        <w:tab w:val="center" w:pos="4680"/>
        <w:tab w:val="right" w:pos="9360"/>
      </w:tabs>
      <w:ind w:right="360"/>
      <w:rPr>
        <w:i/>
        <w:color w:val="000000"/>
        <w:sz w:val="18"/>
        <w:szCs w:val="18"/>
        <w:lang w:val="es-ES"/>
      </w:rPr>
    </w:pPr>
    <w:r w:rsidRPr="00045DE4">
      <w:rPr>
        <w:rFonts w:eastAsia="Arial" w:cs="Arial"/>
        <w:i/>
        <w:color w:val="000000"/>
        <w:sz w:val="18"/>
        <w:szCs w:val="18"/>
        <w:lang w:val="es-ES"/>
      </w:rPr>
      <w:t>JIL, 202</w:t>
    </w:r>
    <w:r w:rsidR="008E195D">
      <w:rPr>
        <w:rFonts w:eastAsia="Arial" w:cs="Arial"/>
        <w:i/>
        <w:color w:val="000000"/>
        <w:sz w:val="18"/>
        <w:szCs w:val="18"/>
        <w:lang w:val="es-ES"/>
      </w:rPr>
      <w:t>5</w:t>
    </w:r>
    <w:r w:rsidRPr="00045DE4">
      <w:rPr>
        <w:rFonts w:eastAsia="Arial" w:cs="Arial"/>
        <w:i/>
        <w:color w:val="000000"/>
        <w:sz w:val="18"/>
        <w:szCs w:val="18"/>
        <w:lang w:val="es-ES"/>
      </w:rPr>
      <w:t xml:space="preserve">, </w:t>
    </w:r>
    <w:r w:rsidR="008E195D">
      <w:rPr>
        <w:rFonts w:eastAsia="Arial" w:cs="Arial"/>
        <w:i/>
        <w:color w:val="000000"/>
        <w:sz w:val="18"/>
        <w:szCs w:val="18"/>
        <w:lang w:val="es-ES"/>
      </w:rPr>
      <w:t>19</w:t>
    </w:r>
    <w:r w:rsidRPr="00045DE4">
      <w:rPr>
        <w:rFonts w:eastAsia="Arial" w:cs="Arial"/>
        <w:i/>
        <w:color w:val="000000"/>
        <w:sz w:val="18"/>
        <w:szCs w:val="18"/>
        <w:lang w:val="es-ES"/>
      </w:rPr>
      <w:t>(</w:t>
    </w:r>
    <w:r w:rsidR="008E195D">
      <w:rPr>
        <w:rFonts w:eastAsia="Arial" w:cs="Arial"/>
        <w:i/>
        <w:color w:val="000000"/>
        <w:sz w:val="18"/>
        <w:szCs w:val="18"/>
        <w:lang w:val="es-ES"/>
      </w:rPr>
      <w:t>2</w:t>
    </w:r>
    <w:r w:rsidRPr="00045DE4">
      <w:rPr>
        <w:rFonts w:eastAsia="Arial" w:cs="Arial"/>
        <w:i/>
        <w:color w:val="000000"/>
        <w:sz w:val="18"/>
        <w:szCs w:val="18"/>
        <w:lang w:val="es-ES"/>
      </w:rPr>
      <w:t>).</w:t>
    </w:r>
  </w:p>
  <w:p w14:paraId="72DCF034" w14:textId="470DF93C" w:rsidR="00652C52" w:rsidRPr="00045DE4" w:rsidRDefault="00045DE4">
    <w:pPr>
      <w:pBdr>
        <w:top w:val="nil"/>
        <w:left w:val="nil"/>
        <w:bottom w:val="nil"/>
        <w:right w:val="nil"/>
        <w:between w:val="nil"/>
      </w:pBdr>
      <w:tabs>
        <w:tab w:val="center" w:pos="4513"/>
        <w:tab w:val="right" w:pos="9026"/>
      </w:tabs>
      <w:rPr>
        <w:color w:val="000000"/>
        <w:lang w:val="es-ES"/>
      </w:rPr>
    </w:pPr>
    <w:r w:rsidRPr="00045DE4">
      <w:rPr>
        <w:rFonts w:eastAsia="Arial" w:cs="Arial"/>
        <w:i/>
        <w:color w:val="000000"/>
        <w:sz w:val="18"/>
        <w:szCs w:val="18"/>
        <w:lang w:val="es-ES"/>
      </w:rPr>
      <w:t>http://dx.doi.org/10.11645/</w:t>
    </w:r>
    <w:r w:rsidR="008E195D">
      <w:rPr>
        <w:rFonts w:eastAsia="Arial" w:cs="Arial"/>
        <w:i/>
        <w:color w:val="000000"/>
        <w:sz w:val="18"/>
        <w:szCs w:val="18"/>
        <w:lang w:val="es-ES"/>
      </w:rPr>
      <w:t>19</w:t>
    </w:r>
    <w:r w:rsidRPr="00045DE4">
      <w:rPr>
        <w:rFonts w:eastAsia="Arial" w:cs="Arial"/>
        <w:i/>
        <w:color w:val="000000"/>
        <w:sz w:val="18"/>
        <w:szCs w:val="18"/>
        <w:lang w:val="es-ES"/>
      </w:rPr>
      <w:t>.</w:t>
    </w:r>
    <w:r w:rsidR="008E195D">
      <w:rPr>
        <w:rFonts w:eastAsia="Arial" w:cs="Arial"/>
        <w:i/>
        <w:color w:val="000000"/>
        <w:sz w:val="18"/>
        <w:szCs w:val="18"/>
        <w:lang w:val="es-ES"/>
      </w:rPr>
      <w:t>2</w:t>
    </w:r>
    <w:r w:rsidRPr="00045DE4">
      <w:rPr>
        <w:rFonts w:eastAsia="Arial" w:cs="Arial"/>
        <w:i/>
        <w:color w:val="000000"/>
        <w:sz w:val="18"/>
        <w:szCs w:val="18"/>
        <w:lang w:val="es-ES"/>
      </w:rPr>
      <w:t>.</w:t>
    </w:r>
    <w:r w:rsidR="008E195D">
      <w:rPr>
        <w:rFonts w:eastAsia="Arial" w:cs="Arial"/>
        <w:i/>
        <w:color w:val="000000"/>
        <w:sz w:val="18"/>
        <w:szCs w:val="18"/>
        <w:lang w:val="es-ES"/>
      </w:rPr>
      <w:t>80</w:t>
    </w:r>
    <w:r w:rsidR="00101FD5">
      <w:rPr>
        <w:rFonts w:eastAsia="Arial" w:cs="Arial"/>
        <w:i/>
        <w:color w:val="000000"/>
        <w:sz w:val="18"/>
        <w:szCs w:val="18"/>
        <w:lang w:val="es-E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ACB7" w14:textId="7441862C" w:rsidR="00F21653" w:rsidRPr="00F21653" w:rsidRDefault="00F21653" w:rsidP="00F21653">
    <w:pPr>
      <w:keepNext/>
      <w:rPr>
        <w:rFonts w:eastAsia="Arial" w:cs="Arial"/>
        <w:sz w:val="20"/>
        <w:szCs w:val="20"/>
      </w:rPr>
    </w:pPr>
    <w:r>
      <w:rPr>
        <w:rFonts w:eastAsia="Arial" w:cs="Arial"/>
        <w:sz w:val="18"/>
        <w:szCs w:val="18"/>
      </w:rPr>
      <w:br/>
    </w:r>
    <w:r w:rsidRPr="00F21653">
      <w:rPr>
        <w:rFonts w:eastAsia="Arial" w:cs="Arial"/>
        <w:sz w:val="20"/>
        <w:szCs w:val="20"/>
      </w:rPr>
      <w:t xml:space="preserve">This </w:t>
    </w:r>
    <w:hyperlink r:id="rId1" w:history="1">
      <w:r w:rsidRPr="00F21653">
        <w:rPr>
          <w:rStyle w:val="Hyperlink"/>
          <w:rFonts w:eastAsia="Arial" w:cs="Arial"/>
          <w:sz w:val="20"/>
          <w:szCs w:val="20"/>
        </w:rPr>
        <w:t>Open Access</w:t>
      </w:r>
    </w:hyperlink>
    <w:r w:rsidRPr="00F21653">
      <w:rPr>
        <w:rFonts w:eastAsia="Arial" w:cs="Arial"/>
        <w:sz w:val="20"/>
        <w:szCs w:val="20"/>
      </w:rPr>
      <w:t xml:space="preserve"> work is licensed under a </w:t>
    </w:r>
    <w:hyperlink r:id="rId2" w:history="1">
      <w:r w:rsidRPr="00F21653">
        <w:rPr>
          <w:rStyle w:val="Hyperlink"/>
          <w:rFonts w:eastAsia="Arial" w:cs="Arial"/>
          <w:sz w:val="20"/>
          <w:szCs w:val="20"/>
        </w:rPr>
        <w:t>Creative Commons Attribution-</w:t>
      </w:r>
      <w:proofErr w:type="spellStart"/>
      <w:r w:rsidRPr="00F21653">
        <w:rPr>
          <w:rStyle w:val="Hyperlink"/>
          <w:rFonts w:eastAsia="Arial" w:cs="Arial"/>
          <w:sz w:val="20"/>
          <w:szCs w:val="20"/>
        </w:rPr>
        <w:t>ShareAlike</w:t>
      </w:r>
      <w:proofErr w:type="spellEnd"/>
      <w:r w:rsidRPr="00F21653">
        <w:rPr>
          <w:rStyle w:val="Hyperlink"/>
          <w:rFonts w:eastAsia="Arial" w:cs="Arial"/>
          <w:sz w:val="20"/>
          <w:szCs w:val="20"/>
        </w:rPr>
        <w:t xml:space="preserve"> 4.0 International License</w:t>
      </w:r>
    </w:hyperlink>
    <w:r w:rsidRPr="00F21653">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9445117" w14:textId="77777777" w:rsidR="00652C52" w:rsidRDefault="00652C52">
    <w:pPr>
      <w:keepNext/>
      <w:rPr>
        <w:rFonts w:eastAsia="Arial" w:cs="Arial"/>
        <w:sz w:val="18"/>
        <w:szCs w:val="18"/>
      </w:rPr>
    </w:pPr>
  </w:p>
  <w:p w14:paraId="1CE79934" w14:textId="6BE8A45E" w:rsidR="00652C52" w:rsidRDefault="008E195D">
    <w:pPr>
      <w:keepNext/>
      <w:rPr>
        <w:rFonts w:eastAsia="Arial" w:cs="Arial"/>
        <w:i/>
        <w:sz w:val="18"/>
        <w:szCs w:val="18"/>
      </w:rPr>
    </w:pPr>
    <w:r>
      <w:rPr>
        <w:rFonts w:eastAsia="Arial" w:cs="Arial"/>
        <w:i/>
        <w:sz w:val="18"/>
        <w:szCs w:val="18"/>
      </w:rPr>
      <w:t>B</w:t>
    </w:r>
    <w:r w:rsidR="00F532FC">
      <w:rPr>
        <w:rFonts w:eastAsia="Arial" w:cs="Arial"/>
        <w:i/>
        <w:sz w:val="18"/>
        <w:szCs w:val="18"/>
      </w:rPr>
      <w:t>lair</w:t>
    </w:r>
    <w:r w:rsidR="00045DE4">
      <w:rPr>
        <w:rFonts w:eastAsia="Arial" w:cs="Arial"/>
        <w:i/>
        <w:sz w:val="18"/>
        <w:szCs w:val="18"/>
      </w:rPr>
      <w:t xml:space="preserve">. </w:t>
    </w:r>
    <w:r>
      <w:rPr>
        <w:rFonts w:eastAsia="Arial" w:cs="Arial"/>
        <w:i/>
        <w:sz w:val="18"/>
        <w:szCs w:val="18"/>
      </w:rPr>
      <w:t>2025</w:t>
    </w:r>
    <w:r w:rsidR="00045DE4">
      <w:rPr>
        <w:rFonts w:eastAsia="Arial" w:cs="Arial"/>
        <w:i/>
        <w:sz w:val="18"/>
        <w:szCs w:val="18"/>
      </w:rPr>
      <w:t xml:space="preserve">. </w:t>
    </w:r>
    <w:r w:rsidR="00F532FC" w:rsidRPr="00F532FC">
      <w:rPr>
        <w:rFonts w:eastAsia="Arial" w:cs="Arial"/>
        <w:i/>
        <w:sz w:val="18"/>
        <w:szCs w:val="18"/>
      </w:rPr>
      <w:t xml:space="preserve">Book review of DeJong, M. 2024. Information literacy for science and engineering students: Concepts and skills. </w:t>
    </w:r>
    <w:r w:rsidR="00045DE4">
      <w:rPr>
        <w:rFonts w:eastAsia="Arial" w:cs="Arial"/>
        <w:i/>
        <w:sz w:val="18"/>
        <w:szCs w:val="18"/>
      </w:rPr>
      <w:t xml:space="preserve">Journal of Information Literacy, </w:t>
    </w:r>
    <w:r>
      <w:rPr>
        <w:rFonts w:eastAsia="Arial" w:cs="Arial"/>
        <w:i/>
        <w:sz w:val="18"/>
        <w:szCs w:val="18"/>
      </w:rPr>
      <w:t>19</w:t>
    </w:r>
    <w:r w:rsidR="00045DE4">
      <w:rPr>
        <w:rFonts w:eastAsia="Arial" w:cs="Arial"/>
        <w:i/>
        <w:sz w:val="18"/>
        <w:szCs w:val="18"/>
      </w:rPr>
      <w:t>(</w:t>
    </w:r>
    <w:r>
      <w:rPr>
        <w:rFonts w:eastAsia="Arial" w:cs="Arial"/>
        <w:i/>
        <w:sz w:val="18"/>
        <w:szCs w:val="18"/>
      </w:rPr>
      <w:t>2</w:t>
    </w:r>
    <w:r w:rsidR="00045DE4">
      <w:rPr>
        <w:rFonts w:eastAsia="Arial" w:cs="Arial"/>
        <w:i/>
        <w:sz w:val="18"/>
        <w:szCs w:val="18"/>
      </w:rPr>
      <w:t xml:space="preserve">), pp. </w:t>
    </w:r>
    <w:r w:rsidR="002A7B16" w:rsidRPr="002A7B16">
      <w:rPr>
        <w:rFonts w:eastAsia="Arial" w:cs="Arial"/>
        <w:i/>
        <w:sz w:val="18"/>
        <w:szCs w:val="18"/>
      </w:rPr>
      <w:t>156–157</w:t>
    </w:r>
    <w:r w:rsidR="002A7B16">
      <w:rPr>
        <w:rFonts w:eastAsia="Arial" w:cs="Arial"/>
        <w:i/>
        <w:sz w:val="18"/>
        <w:szCs w:val="18"/>
      </w:rPr>
      <w:t>.</w:t>
    </w:r>
  </w:p>
  <w:p w14:paraId="7BED1C0E" w14:textId="716EE9E5" w:rsidR="00652C52" w:rsidRDefault="00045DE4">
    <w:pPr>
      <w:rPr>
        <w:rFonts w:eastAsia="Arial" w:cs="Arial"/>
        <w:i/>
        <w:sz w:val="18"/>
        <w:szCs w:val="18"/>
      </w:rPr>
    </w:pPr>
    <w:r>
      <w:rPr>
        <w:rFonts w:eastAsia="Arial" w:cs="Arial"/>
        <w:i/>
        <w:sz w:val="18"/>
        <w:szCs w:val="18"/>
      </w:rPr>
      <w:t>http://dx.doi.org/10.11645/</w:t>
    </w:r>
    <w:r w:rsidR="008E195D">
      <w:rPr>
        <w:rFonts w:eastAsia="Arial" w:cs="Arial"/>
        <w:i/>
        <w:sz w:val="18"/>
        <w:szCs w:val="18"/>
      </w:rPr>
      <w:t>19</w:t>
    </w:r>
    <w:r>
      <w:rPr>
        <w:rFonts w:eastAsia="Arial" w:cs="Arial"/>
        <w:i/>
        <w:sz w:val="18"/>
        <w:szCs w:val="18"/>
      </w:rPr>
      <w:t>.</w:t>
    </w:r>
    <w:r w:rsidR="008E195D">
      <w:rPr>
        <w:rFonts w:eastAsia="Arial" w:cs="Arial"/>
        <w:i/>
        <w:sz w:val="18"/>
        <w:szCs w:val="18"/>
      </w:rPr>
      <w:t>2</w:t>
    </w:r>
    <w:r>
      <w:rPr>
        <w:rFonts w:eastAsia="Arial" w:cs="Arial"/>
        <w:i/>
        <w:sz w:val="18"/>
        <w:szCs w:val="18"/>
      </w:rPr>
      <w:t>.</w:t>
    </w:r>
    <w:r w:rsidR="008E195D">
      <w:rPr>
        <w:rFonts w:eastAsia="Arial" w:cs="Arial"/>
        <w:i/>
        <w:sz w:val="18"/>
        <w:szCs w:val="18"/>
      </w:rPr>
      <w:t>80</w:t>
    </w:r>
    <w:r w:rsidR="00101FD5">
      <w:rPr>
        <w:rFonts w:eastAsia="Arial" w:cs="Arial"/>
        <w:i/>
        <w:sz w:val="18"/>
        <w:szCs w:val="18"/>
      </w:rPr>
      <w:t>8</w:t>
    </w:r>
  </w:p>
  <w:p w14:paraId="525A3FD1" w14:textId="77777777" w:rsidR="00652C52" w:rsidRDefault="00652C5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94F9" w14:textId="77777777" w:rsidR="003C2120" w:rsidRDefault="003C2120">
      <w:r>
        <w:separator/>
      </w:r>
    </w:p>
  </w:footnote>
  <w:footnote w:type="continuationSeparator" w:id="0">
    <w:p w14:paraId="3D25737D" w14:textId="77777777" w:rsidR="003C2120" w:rsidRDefault="003C2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147C" w14:textId="77777777" w:rsidR="00652C52" w:rsidRDefault="00652C5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AAB9" w14:textId="3BD0F130" w:rsidR="00652C52" w:rsidRDefault="008E195D">
    <w:pPr>
      <w:pBdr>
        <w:top w:val="nil"/>
        <w:left w:val="nil"/>
        <w:bottom w:val="nil"/>
        <w:right w:val="nil"/>
        <w:between w:val="nil"/>
      </w:pBdr>
      <w:tabs>
        <w:tab w:val="center" w:pos="4680"/>
        <w:tab w:val="right" w:pos="9360"/>
      </w:tabs>
      <w:jc w:val="right"/>
    </w:pPr>
    <w:r>
      <w:rPr>
        <w:rFonts w:eastAsia="Arial" w:cs="Arial"/>
        <w:color w:val="000000"/>
        <w:sz w:val="18"/>
        <w:szCs w:val="18"/>
      </w:rPr>
      <w:t>B</w:t>
    </w:r>
    <w:r w:rsidR="00734EB4">
      <w:rPr>
        <w:rFonts w:eastAsia="Arial" w:cs="Arial"/>
        <w:color w:val="000000"/>
        <w:sz w:val="18"/>
        <w:szCs w:val="18"/>
      </w:rPr>
      <w:t>lair</w:t>
    </w:r>
    <w:r w:rsidR="00045DE4">
      <w:rPr>
        <w:rFonts w:eastAsia="Arial" w:cs="Arial"/>
        <w:color w:val="000000"/>
        <w:sz w:val="18"/>
        <w:szCs w:val="18"/>
      </w:rPr>
      <w:t xml:space="preserve"> </w:t>
    </w:r>
    <w:r w:rsidR="00045DE4">
      <w:rPr>
        <w:color w:val="000000"/>
        <w:sz w:val="18"/>
        <w:szCs w:val="18"/>
      </w:rPr>
      <w:fldChar w:fldCharType="begin"/>
    </w:r>
    <w:r w:rsidR="00045DE4">
      <w:rPr>
        <w:color w:val="000000"/>
        <w:sz w:val="18"/>
        <w:szCs w:val="18"/>
      </w:rPr>
      <w:instrText>PAGE</w:instrText>
    </w:r>
    <w:r w:rsidR="00045DE4">
      <w:rPr>
        <w:color w:val="000000"/>
        <w:sz w:val="18"/>
        <w:szCs w:val="18"/>
      </w:rPr>
      <w:fldChar w:fldCharType="separate"/>
    </w:r>
    <w:r w:rsidR="00855E4D">
      <w:rPr>
        <w:noProof/>
        <w:color w:val="000000"/>
        <w:sz w:val="18"/>
        <w:szCs w:val="18"/>
      </w:rPr>
      <w:t>2</w:t>
    </w:r>
    <w:r w:rsidR="00045DE4">
      <w:rPr>
        <w:color w:val="000000"/>
        <w:sz w:val="18"/>
        <w:szCs w:val="18"/>
      </w:rPr>
      <w:fldChar w:fldCharType="end"/>
    </w:r>
    <w:r>
      <w:rPr>
        <w:color w:val="000000"/>
        <w:sz w:val="18"/>
        <w:szCs w:val="18"/>
      </w:rPr>
      <w:br/>
    </w:r>
    <w:r>
      <w:rPr>
        <w:color w:val="000000"/>
        <w:sz w:val="18"/>
        <w:szCs w:val="18"/>
      </w:rPr>
      <w:br/>
    </w:r>
    <w:r>
      <w:rPr>
        <w:color w:val="000000"/>
        <w:sz w:val="18"/>
        <w:szCs w:val="18"/>
      </w:rPr>
      <w:br/>
    </w:r>
    <w:r>
      <w:rPr>
        <w:color w:val="000000"/>
        <w:sz w:val="18"/>
        <w:szCs w:val="18"/>
      </w:rPr>
      <w:br/>
    </w:r>
    <w:r>
      <w:rPr>
        <w:color w:val="000000"/>
        <w:sz w:val="18"/>
        <w:szCs w:val="18"/>
      </w:rPr>
      <w:br/>
    </w:r>
    <w:r>
      <w:rPr>
        <w:color w:val="000000"/>
        <w:sz w:val="18"/>
        <w:szCs w:val="18"/>
      </w:rPr>
      <w:br/>
    </w:r>
    <w:r w:rsidR="00045DE4">
      <w:rPr>
        <w:noProof/>
      </w:rPr>
      <w:drawing>
        <wp:anchor distT="0" distB="0" distL="114300" distR="114300" simplePos="0" relativeHeight="251658240" behindDoc="0" locked="0" layoutInCell="1" allowOverlap="1" wp14:anchorId="77DA5B2C" wp14:editId="0EE89C53">
          <wp:simplePos x="0" y="0"/>
          <wp:positionH relativeFrom="column">
            <wp:posOffset>-463549</wp:posOffset>
          </wp:positionH>
          <wp:positionV relativeFrom="paragraph">
            <wp:posOffset>-298449</wp:posOffset>
          </wp:positionV>
          <wp:extent cx="1181100" cy="118110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stretch>
                    <a:fillRect/>
                  </a:stretch>
                </pic:blipFill>
                <pic:spPr>
                  <a:xfrm>
                    <a:off x="0" y="0"/>
                    <a:ext cx="1181100" cy="1181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87C3" w14:textId="77777777" w:rsidR="00652C52" w:rsidRDefault="00045DE4">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allowOverlap="1" wp14:anchorId="0CC1E104" wp14:editId="04E20729">
          <wp:simplePos x="0" y="0"/>
          <wp:positionH relativeFrom="column">
            <wp:posOffset>-444499</wp:posOffset>
          </wp:positionH>
          <wp:positionV relativeFrom="paragraph">
            <wp:posOffset>-247649</wp:posOffset>
          </wp:positionV>
          <wp:extent cx="1181100" cy="11811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1181100" cy="1181100"/>
                  </a:xfrm>
                  <a:prstGeom prst="rect">
                    <a:avLst/>
                  </a:prstGeom>
                </pic:spPr>
              </pic:pic>
            </a:graphicData>
          </a:graphic>
        </wp:anchor>
      </w:drawing>
    </w:r>
  </w:p>
  <w:p w14:paraId="655C35BB" w14:textId="5D141CFD" w:rsidR="00652C52" w:rsidRDefault="00045DE4">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8E195D">
      <w:rPr>
        <w:rFonts w:eastAsia="Arial" w:cs="Arial"/>
        <w:color w:val="000000"/>
      </w:rPr>
      <w:t>19</w:t>
    </w:r>
    <w:r>
      <w:rPr>
        <w:rFonts w:eastAsia="Arial" w:cs="Arial"/>
        <w:color w:val="000000"/>
      </w:rPr>
      <w:t xml:space="preserve"> Issue </w:t>
    </w:r>
    <w:r w:rsidR="008E195D">
      <w:rPr>
        <w:rFonts w:eastAsia="Arial" w:cs="Arial"/>
        <w:color w:val="000000"/>
      </w:rPr>
      <w:t>2</w:t>
    </w:r>
  </w:p>
  <w:p w14:paraId="1D86245F" w14:textId="17E49B3C" w:rsidR="00652C52" w:rsidRDefault="00045DE4">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r w:rsidR="008E195D">
      <w:rPr>
        <w:rFonts w:eastAsia="Arial" w:cs="Arial"/>
        <w:color w:val="00000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pvdf9r4d9zwqevzrixd9v0zdreav55xt0d&quot;&gt;My EndNote Library&lt;record-ids&gt;&lt;item&gt;766&lt;/item&gt;&lt;/record-ids&gt;&lt;/item&gt;&lt;/Libraries&gt;"/>
  </w:docVars>
  <w:rsids>
    <w:rsidRoot w:val="00652C52"/>
    <w:rsid w:val="000367AC"/>
    <w:rsid w:val="00045DE4"/>
    <w:rsid w:val="000F57D0"/>
    <w:rsid w:val="00101FD5"/>
    <w:rsid w:val="00105682"/>
    <w:rsid w:val="001A4130"/>
    <w:rsid w:val="001C0585"/>
    <w:rsid w:val="001C6CEF"/>
    <w:rsid w:val="00205F97"/>
    <w:rsid w:val="0029069A"/>
    <w:rsid w:val="002A4B1B"/>
    <w:rsid w:val="002A7B16"/>
    <w:rsid w:val="003108BB"/>
    <w:rsid w:val="003C2120"/>
    <w:rsid w:val="003D431C"/>
    <w:rsid w:val="00450ABF"/>
    <w:rsid w:val="00452C75"/>
    <w:rsid w:val="00491D1C"/>
    <w:rsid w:val="004F208A"/>
    <w:rsid w:val="004F2CA4"/>
    <w:rsid w:val="00567826"/>
    <w:rsid w:val="00574918"/>
    <w:rsid w:val="0058146C"/>
    <w:rsid w:val="005D10C8"/>
    <w:rsid w:val="005F7508"/>
    <w:rsid w:val="00635BCF"/>
    <w:rsid w:val="00652C52"/>
    <w:rsid w:val="00663C23"/>
    <w:rsid w:val="0066588B"/>
    <w:rsid w:val="00685528"/>
    <w:rsid w:val="006D17F5"/>
    <w:rsid w:val="006F349E"/>
    <w:rsid w:val="00723E52"/>
    <w:rsid w:val="00731F28"/>
    <w:rsid w:val="00734EB4"/>
    <w:rsid w:val="00744856"/>
    <w:rsid w:val="007B73B6"/>
    <w:rsid w:val="00847974"/>
    <w:rsid w:val="00855E4D"/>
    <w:rsid w:val="008D3519"/>
    <w:rsid w:val="008E195D"/>
    <w:rsid w:val="008E6CD1"/>
    <w:rsid w:val="0095454F"/>
    <w:rsid w:val="00962518"/>
    <w:rsid w:val="00976CC4"/>
    <w:rsid w:val="00983D47"/>
    <w:rsid w:val="00984F29"/>
    <w:rsid w:val="00987EB0"/>
    <w:rsid w:val="009C3785"/>
    <w:rsid w:val="009E338E"/>
    <w:rsid w:val="00A31AB4"/>
    <w:rsid w:val="00A365AB"/>
    <w:rsid w:val="00A82B5E"/>
    <w:rsid w:val="00A82EF1"/>
    <w:rsid w:val="00B67422"/>
    <w:rsid w:val="00BA6168"/>
    <w:rsid w:val="00BB369B"/>
    <w:rsid w:val="00C3298D"/>
    <w:rsid w:val="00C47289"/>
    <w:rsid w:val="00C8614C"/>
    <w:rsid w:val="00D16BBB"/>
    <w:rsid w:val="00D5633B"/>
    <w:rsid w:val="00D6629B"/>
    <w:rsid w:val="00DF5853"/>
    <w:rsid w:val="00E247CD"/>
    <w:rsid w:val="00E32D7C"/>
    <w:rsid w:val="00E65188"/>
    <w:rsid w:val="00F21653"/>
    <w:rsid w:val="00F44079"/>
    <w:rsid w:val="00F44899"/>
    <w:rsid w:val="00F5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C0CA"/>
  <w15:docId w15:val="{4EA81EAC-BDA5-4144-9EDB-33CDA765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82"/>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BA6168"/>
    <w:pPr>
      <w:jc w:val="center"/>
    </w:pPr>
  </w:style>
  <w:style w:type="character" w:customStyle="1" w:styleId="EndNoteBibliographyTitleChar">
    <w:name w:val="EndNote Bibliography Title Char"/>
    <w:basedOn w:val="DefaultParagraphFont"/>
    <w:link w:val="EndNoteBibliographyTitle"/>
    <w:rsid w:val="00BA6168"/>
  </w:style>
  <w:style w:type="paragraph" w:customStyle="1" w:styleId="EndNoteBibliography">
    <w:name w:val="EndNote Bibliography"/>
    <w:basedOn w:val="Normal"/>
    <w:link w:val="EndNoteBibliographyChar"/>
    <w:rsid w:val="00BA6168"/>
  </w:style>
  <w:style w:type="character" w:customStyle="1" w:styleId="EndNoteBibliographyChar">
    <w:name w:val="EndNote Bibliography Char"/>
    <w:basedOn w:val="DefaultParagraphFont"/>
    <w:link w:val="EndNoteBibliography"/>
    <w:rsid w:val="00BA6168"/>
  </w:style>
  <w:style w:type="character" w:styleId="Hyperlink">
    <w:name w:val="Hyperlink"/>
    <w:basedOn w:val="DefaultParagraphFont"/>
    <w:uiPriority w:val="99"/>
    <w:unhideWhenUsed/>
    <w:rsid w:val="00574918"/>
    <w:rPr>
      <w:color w:val="0000FF" w:themeColor="hyperlink"/>
      <w:u w:val="single"/>
    </w:rPr>
  </w:style>
  <w:style w:type="character" w:styleId="UnresolvedMention">
    <w:name w:val="Unresolved Mention"/>
    <w:basedOn w:val="DefaultParagraphFont"/>
    <w:uiPriority w:val="99"/>
    <w:semiHidden/>
    <w:unhideWhenUsed/>
    <w:rsid w:val="00574918"/>
    <w:rPr>
      <w:color w:val="605E5C"/>
      <w:shd w:val="clear" w:color="auto" w:fill="E1DFDD"/>
    </w:rPr>
  </w:style>
  <w:style w:type="character" w:customStyle="1" w:styleId="Heading2Char">
    <w:name w:val="Heading 2 Char"/>
    <w:basedOn w:val="DefaultParagraphFont"/>
    <w:link w:val="Heading2"/>
    <w:uiPriority w:val="9"/>
    <w:rsid w:val="00BB369B"/>
    <w:rPr>
      <w:rFonts w:ascii="Arial" w:hAnsi="Arial"/>
      <w:b/>
      <w:sz w:val="36"/>
      <w:szCs w:val="36"/>
    </w:rPr>
  </w:style>
  <w:style w:type="paragraph" w:styleId="BodyTextIndent">
    <w:name w:val="Body Text Indent"/>
    <w:basedOn w:val="Normal"/>
    <w:link w:val="BodyTextIndentChar"/>
    <w:uiPriority w:val="99"/>
    <w:unhideWhenUsed/>
    <w:rsid w:val="007B73B6"/>
    <w:pPr>
      <w:ind w:left="720" w:hanging="720"/>
    </w:pPr>
  </w:style>
  <w:style w:type="character" w:customStyle="1" w:styleId="BodyTextIndentChar">
    <w:name w:val="Body Text Indent Char"/>
    <w:basedOn w:val="DefaultParagraphFont"/>
    <w:link w:val="BodyTextIndent"/>
    <w:uiPriority w:val="99"/>
    <w:rsid w:val="007B73B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blair@wlu.ca"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x.doi.org/10.11645/19.2.8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Delaney, Geraldine</dc:creator>
  <cp:lastModifiedBy>Edwards, Amber</cp:lastModifiedBy>
  <cp:revision>21</cp:revision>
  <dcterms:created xsi:type="dcterms:W3CDTF">2025-09-29T15:06:00Z</dcterms:created>
  <dcterms:modified xsi:type="dcterms:W3CDTF">2025-11-28T11:58:00Z</dcterms:modified>
</cp:coreProperties>
</file>