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5709" w14:textId="77777777" w:rsidR="00652C52" w:rsidRDefault="00652C52">
      <w:pPr>
        <w:rPr>
          <w:rFonts w:eastAsia="Arial" w:cs="Arial"/>
        </w:rPr>
      </w:pPr>
    </w:p>
    <w:p w14:paraId="6F35EC87" w14:textId="77777777" w:rsidR="00652C52" w:rsidRDefault="00652C52">
      <w:pPr>
        <w:jc w:val="both"/>
        <w:rPr>
          <w:rFonts w:eastAsia="Arial" w:cs="Arial"/>
          <w:b/>
          <w:color w:val="000000"/>
          <w:sz w:val="28"/>
          <w:szCs w:val="28"/>
        </w:rPr>
      </w:pPr>
    </w:p>
    <w:p w14:paraId="02BFE56B" w14:textId="77777777" w:rsidR="00652C52" w:rsidRDefault="00045DE4">
      <w:pPr>
        <w:jc w:val="both"/>
        <w:rPr>
          <w:rFonts w:eastAsia="Arial" w:cs="Arial"/>
          <w:b/>
          <w:color w:val="000000"/>
          <w:sz w:val="28"/>
          <w:szCs w:val="28"/>
        </w:rPr>
      </w:pPr>
      <w:r>
        <w:rPr>
          <w:rFonts w:eastAsia="Arial" w:cs="Arial"/>
          <w:b/>
          <w:color w:val="000000"/>
          <w:sz w:val="28"/>
          <w:szCs w:val="28"/>
        </w:rPr>
        <w:t>Book Review</w:t>
      </w:r>
    </w:p>
    <w:p w14:paraId="16D0DC6A" w14:textId="77777777" w:rsidR="00652C52" w:rsidRDefault="00652C52" w:rsidP="008E195D"/>
    <w:p w14:paraId="65A49E3B" w14:textId="7D0B369D" w:rsidR="00652C52" w:rsidRDefault="00045DE4" w:rsidP="008E195D">
      <w:pPr>
        <w:keepNext/>
        <w:spacing w:before="120" w:after="80"/>
        <w:rPr>
          <w:rFonts w:eastAsia="Arial" w:cs="Arial"/>
          <w:b/>
          <w:sz w:val="24"/>
          <w:szCs w:val="24"/>
        </w:rPr>
      </w:pPr>
      <w:r>
        <w:rPr>
          <w:rFonts w:eastAsia="Arial" w:cs="Arial"/>
          <w:b/>
          <w:sz w:val="24"/>
          <w:szCs w:val="24"/>
        </w:rPr>
        <w:t xml:space="preserve">Bond, H. 2025. Book </w:t>
      </w:r>
      <w:r w:rsidR="00F21653">
        <w:rPr>
          <w:rFonts w:eastAsia="Arial" w:cs="Arial"/>
          <w:b/>
          <w:sz w:val="24"/>
          <w:szCs w:val="24"/>
        </w:rPr>
        <w:t>r</w:t>
      </w:r>
      <w:r>
        <w:rPr>
          <w:rFonts w:eastAsia="Arial" w:cs="Arial"/>
          <w:b/>
          <w:sz w:val="24"/>
          <w:szCs w:val="24"/>
        </w:rPr>
        <w:t xml:space="preserve">eview of Whitworth, A. </w:t>
      </w:r>
      <w:r w:rsidR="00983D47">
        <w:rPr>
          <w:rFonts w:eastAsia="Arial" w:cs="Arial"/>
          <w:b/>
          <w:sz w:val="24"/>
          <w:szCs w:val="24"/>
        </w:rPr>
        <w:t>2020</w:t>
      </w:r>
      <w:r>
        <w:rPr>
          <w:rFonts w:eastAsia="Arial" w:cs="Arial"/>
          <w:b/>
          <w:sz w:val="24"/>
          <w:szCs w:val="24"/>
        </w:rPr>
        <w:t xml:space="preserve">. </w:t>
      </w:r>
      <w:r w:rsidR="00983D47">
        <w:rPr>
          <w:rFonts w:eastAsia="Arial" w:cs="Arial"/>
          <w:b/>
          <w:i/>
          <w:sz w:val="24"/>
          <w:szCs w:val="24"/>
        </w:rPr>
        <w:t xml:space="preserve">Mapping information landscapes: </w:t>
      </w:r>
      <w:r w:rsidR="00F21653">
        <w:rPr>
          <w:rFonts w:eastAsia="Arial" w:cs="Arial"/>
          <w:b/>
          <w:i/>
          <w:sz w:val="24"/>
          <w:szCs w:val="24"/>
        </w:rPr>
        <w:t>N</w:t>
      </w:r>
      <w:r w:rsidR="00983D47">
        <w:rPr>
          <w:rFonts w:eastAsia="Arial" w:cs="Arial"/>
          <w:b/>
          <w:i/>
          <w:sz w:val="24"/>
          <w:szCs w:val="24"/>
        </w:rPr>
        <w:t>ew methods for exploring the development and teaching of information literacy</w:t>
      </w:r>
      <w:r>
        <w:rPr>
          <w:rFonts w:eastAsia="Arial" w:cs="Arial"/>
          <w:b/>
          <w:sz w:val="24"/>
          <w:szCs w:val="24"/>
        </w:rPr>
        <w:t>.</w:t>
      </w:r>
      <w:r w:rsidR="00983D47">
        <w:rPr>
          <w:rFonts w:eastAsia="Arial" w:cs="Arial"/>
          <w:b/>
          <w:sz w:val="24"/>
          <w:szCs w:val="24"/>
        </w:rPr>
        <w:t xml:space="preserve"> London</w:t>
      </w:r>
      <w:r>
        <w:rPr>
          <w:rFonts w:eastAsia="Arial" w:cs="Arial"/>
          <w:b/>
          <w:sz w:val="24"/>
          <w:szCs w:val="24"/>
        </w:rPr>
        <w:t>:</w:t>
      </w:r>
      <w:r w:rsidR="00983D47">
        <w:rPr>
          <w:rFonts w:eastAsia="Arial" w:cs="Arial"/>
          <w:b/>
          <w:sz w:val="24"/>
          <w:szCs w:val="24"/>
        </w:rPr>
        <w:t xml:space="preserve"> Facet Publishing</w:t>
      </w:r>
      <w:r>
        <w:rPr>
          <w:rFonts w:eastAsia="Arial" w:cs="Arial"/>
          <w:b/>
          <w:sz w:val="24"/>
          <w:szCs w:val="24"/>
        </w:rPr>
        <w:t xml:space="preserve">. </w:t>
      </w:r>
      <w:r>
        <w:rPr>
          <w:rFonts w:eastAsia="Arial" w:cs="Arial"/>
          <w:b/>
          <w:i/>
          <w:sz w:val="24"/>
          <w:szCs w:val="24"/>
        </w:rPr>
        <w:t>Journal of Information Literacy</w:t>
      </w:r>
      <w:r>
        <w:rPr>
          <w:rFonts w:eastAsia="Arial" w:cs="Arial"/>
          <w:b/>
          <w:sz w:val="24"/>
          <w:szCs w:val="24"/>
        </w:rPr>
        <w:t xml:space="preserve">, </w:t>
      </w:r>
      <w:r w:rsidR="008E195D" w:rsidRPr="00F21653">
        <w:rPr>
          <w:rFonts w:eastAsia="Arial" w:cs="Arial"/>
          <w:b/>
          <w:i/>
          <w:iCs/>
          <w:sz w:val="24"/>
          <w:szCs w:val="24"/>
        </w:rPr>
        <w:t>19</w:t>
      </w:r>
      <w:r>
        <w:rPr>
          <w:rFonts w:eastAsia="Arial" w:cs="Arial"/>
          <w:b/>
          <w:sz w:val="24"/>
          <w:szCs w:val="24"/>
        </w:rPr>
        <w:t>(</w:t>
      </w:r>
      <w:r w:rsidR="008E195D">
        <w:rPr>
          <w:rFonts w:eastAsia="Arial" w:cs="Arial"/>
          <w:b/>
          <w:sz w:val="24"/>
          <w:szCs w:val="24"/>
        </w:rPr>
        <w:t>2</w:t>
      </w:r>
      <w:r>
        <w:rPr>
          <w:rFonts w:eastAsia="Arial" w:cs="Arial"/>
          <w:b/>
          <w:sz w:val="24"/>
          <w:szCs w:val="24"/>
        </w:rPr>
        <w:t>), pp.</w:t>
      </w:r>
      <w:r w:rsidR="00F21653">
        <w:rPr>
          <w:rFonts w:eastAsia="Arial" w:cs="Arial"/>
          <w:b/>
          <w:sz w:val="24"/>
          <w:szCs w:val="24"/>
        </w:rPr>
        <w:t xml:space="preserve"> </w:t>
      </w:r>
      <w:r w:rsidR="004D2223" w:rsidRPr="004D2223">
        <w:rPr>
          <w:rFonts w:eastAsia="Arial" w:cs="Arial"/>
          <w:b/>
          <w:sz w:val="24"/>
          <w:szCs w:val="24"/>
        </w:rPr>
        <w:t>153–155</w:t>
      </w:r>
      <w:r w:rsidR="00F21653" w:rsidRPr="00F21653">
        <w:rPr>
          <w:rFonts w:eastAsia="Arial" w:cs="Arial"/>
          <w:b/>
          <w:sz w:val="24"/>
          <w:szCs w:val="24"/>
        </w:rPr>
        <w:t>.</w:t>
      </w:r>
    </w:p>
    <w:p w14:paraId="77573876" w14:textId="67353579" w:rsidR="00652C52" w:rsidRPr="008E195D" w:rsidRDefault="008E195D">
      <w:pPr>
        <w:spacing w:before="120" w:after="80"/>
        <w:jc w:val="both"/>
        <w:rPr>
          <w:rFonts w:eastAsia="Arial" w:cs="Arial"/>
          <w:b/>
          <w:iCs/>
          <w:sz w:val="24"/>
          <w:szCs w:val="24"/>
        </w:rPr>
        <w:sectPr w:rsidR="00652C52" w:rsidRPr="008E195D" w:rsidSect="004D222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53"/>
          <w:cols w:space="720"/>
          <w:titlePg/>
        </w:sectPr>
      </w:pPr>
      <w:hyperlink r:id="rId12" w:history="1">
        <w:r w:rsidRPr="008E195D">
          <w:rPr>
            <w:rStyle w:val="Hyperlink"/>
            <w:rFonts w:eastAsia="Arial" w:cs="Arial"/>
            <w:b/>
            <w:iCs/>
            <w:sz w:val="24"/>
            <w:szCs w:val="24"/>
          </w:rPr>
          <w:t>http://dx.doi.org/10.11645/19.2.806</w:t>
        </w:r>
      </w:hyperlink>
      <w:r w:rsidRPr="008E195D">
        <w:rPr>
          <w:rFonts w:eastAsia="Arial" w:cs="Arial"/>
          <w:b/>
          <w:iCs/>
          <w:sz w:val="24"/>
          <w:szCs w:val="24"/>
        </w:rPr>
        <w:t xml:space="preserve"> </w:t>
      </w:r>
    </w:p>
    <w:p w14:paraId="681E10CF" w14:textId="77777777" w:rsidR="00652C52" w:rsidRDefault="00652C52">
      <w:pPr>
        <w:sectPr w:rsidR="00652C52">
          <w:type w:val="continuous"/>
          <w:pgSz w:w="12240" w:h="15840"/>
          <w:pgMar w:top="1440" w:right="1440" w:bottom="1440" w:left="1440" w:header="720" w:footer="720" w:gutter="0"/>
          <w:cols w:num="2" w:sep="1" w:space="720" w:equalWidth="0">
            <w:col w:w="4320" w:space="720"/>
            <w:col w:w="4320" w:space="0"/>
          </w:cols>
        </w:sectPr>
      </w:pPr>
    </w:p>
    <w:p w14:paraId="6477BE79" w14:textId="77777777" w:rsidR="00652C52" w:rsidRDefault="00045DE4">
      <w:pPr>
        <w:keepNext/>
        <w:keepLines/>
        <w:pBdr>
          <w:top w:val="nil"/>
          <w:left w:val="nil"/>
          <w:bottom w:val="nil"/>
          <w:right w:val="nil"/>
          <w:between w:val="nil"/>
        </w:pBdr>
        <w:rPr>
          <w:rFonts w:eastAsia="Arial" w:cs="Arial"/>
          <w:b/>
          <w:color w:val="000000"/>
        </w:rPr>
      </w:pPr>
      <w:r>
        <w:rPr>
          <w:rFonts w:eastAsia="Arial" w:cs="Arial"/>
          <w:b/>
          <w:color w:val="000000"/>
        </w:rPr>
        <w:t>Helen Bond</w:t>
      </w:r>
    </w:p>
    <w:p w14:paraId="60D309A9" w14:textId="77777777" w:rsidR="00574918" w:rsidRDefault="00045DE4">
      <w:pPr>
        <w:keepNext/>
        <w:keepLines/>
        <w:pBdr>
          <w:top w:val="nil"/>
          <w:left w:val="nil"/>
          <w:bottom w:val="nil"/>
          <w:right w:val="nil"/>
          <w:between w:val="nil"/>
        </w:pBdr>
        <w:rPr>
          <w:rFonts w:eastAsia="Arial" w:cs="Arial"/>
          <w:color w:val="000000"/>
        </w:rPr>
      </w:pPr>
      <w:r w:rsidRPr="00574918">
        <w:rPr>
          <w:rFonts w:eastAsia="Arial" w:cs="Arial"/>
          <w:bCs/>
          <w:color w:val="000000"/>
        </w:rPr>
        <w:t>Information Skills Coordinator</w:t>
      </w:r>
      <w:r>
        <w:rPr>
          <w:rFonts w:eastAsia="Arial" w:cs="Arial"/>
          <w:bCs/>
          <w:color w:val="000000"/>
        </w:rPr>
        <w:t>, Bodleian Libraries, University of Oxford</w:t>
      </w:r>
      <w:r>
        <w:rPr>
          <w:rFonts w:eastAsia="Arial" w:cs="Arial"/>
          <w:color w:val="000000"/>
        </w:rPr>
        <w:t>.</w:t>
      </w:r>
    </w:p>
    <w:p w14:paraId="1B269334" w14:textId="74AF93EC" w:rsidR="00652C52" w:rsidRPr="00574918" w:rsidRDefault="00045DE4">
      <w:pPr>
        <w:keepNext/>
        <w:keepLines/>
        <w:pBdr>
          <w:top w:val="nil"/>
          <w:left w:val="nil"/>
          <w:bottom w:val="nil"/>
          <w:right w:val="nil"/>
          <w:between w:val="nil"/>
        </w:pBdr>
        <w:rPr>
          <w:rFonts w:eastAsia="Arial" w:cs="Arial"/>
          <w:bCs/>
          <w:color w:val="000000"/>
        </w:rPr>
      </w:pPr>
      <w:r>
        <w:rPr>
          <w:rFonts w:eastAsia="Arial" w:cs="Arial"/>
          <w:color w:val="000000"/>
        </w:rPr>
        <w:t>Email</w:t>
      </w:r>
      <w:r w:rsidR="00574918">
        <w:rPr>
          <w:rFonts w:eastAsia="Arial" w:cs="Arial"/>
          <w:color w:val="000000"/>
        </w:rPr>
        <w:t xml:space="preserve">: </w:t>
      </w:r>
      <w:hyperlink r:id="rId13" w:history="1">
        <w:r w:rsidR="00574918" w:rsidRPr="00574918">
          <w:rPr>
            <w:rStyle w:val="Hyperlink"/>
            <w:rFonts w:eastAsia="Arial" w:cs="Arial"/>
          </w:rPr>
          <w:t>helen.bond@bodleian.ox.ac.uk</w:t>
        </w:r>
      </w:hyperlink>
      <w:r w:rsidR="00105682">
        <w:t>.</w:t>
      </w:r>
      <w:r>
        <w:rPr>
          <w:rFonts w:eastAsia="Arial" w:cs="Arial"/>
          <w:color w:val="000000"/>
        </w:rPr>
        <w:t xml:space="preserve"> </w:t>
      </w:r>
    </w:p>
    <w:p w14:paraId="2C9FE00B" w14:textId="77777777" w:rsidR="00652C52" w:rsidRDefault="00652C52"/>
    <w:p w14:paraId="4C223334" w14:textId="5556CF19" w:rsidR="00652C52" w:rsidRPr="00984F29" w:rsidRDefault="00045DE4" w:rsidP="00984F29">
      <w:pPr>
        <w:keepNext/>
        <w:keepLines/>
        <w:pBdr>
          <w:top w:val="nil"/>
          <w:left w:val="nil"/>
          <w:bottom w:val="nil"/>
          <w:right w:val="nil"/>
          <w:between w:val="nil"/>
        </w:pBdr>
        <w:spacing w:after="200"/>
        <w:rPr>
          <w:b/>
          <w:color w:val="000000"/>
          <w:sz w:val="28"/>
          <w:szCs w:val="28"/>
        </w:rPr>
        <w:sectPr w:rsidR="00652C52" w:rsidRPr="00984F29">
          <w:type w:val="continuous"/>
          <w:pgSz w:w="12240" w:h="15840"/>
          <w:pgMar w:top="1440" w:right="1440" w:bottom="1440" w:left="1440" w:header="720" w:footer="720" w:gutter="0"/>
          <w:cols w:num="2" w:sep="1" w:space="720" w:equalWidth="0">
            <w:col w:w="4320" w:space="720"/>
            <w:col w:w="4320" w:space="0"/>
          </w:cols>
        </w:sectPr>
      </w:pPr>
      <w:r>
        <w:rPr>
          <w:rFonts w:eastAsia="Arial" w:cs="Arial"/>
        </w:rPr>
        <w:t xml:space="preserve">Whitworth, A. (2020). </w:t>
      </w:r>
      <w:r>
        <w:rPr>
          <w:rFonts w:eastAsia="Arial" w:cs="Arial"/>
          <w:i/>
        </w:rPr>
        <w:t xml:space="preserve">Mapping information landscapes: </w:t>
      </w:r>
      <w:r w:rsidR="00105682">
        <w:rPr>
          <w:rFonts w:eastAsia="Arial" w:cs="Arial"/>
          <w:i/>
        </w:rPr>
        <w:t>N</w:t>
      </w:r>
      <w:r>
        <w:rPr>
          <w:rFonts w:eastAsia="Arial" w:cs="Arial"/>
          <w:i/>
        </w:rPr>
        <w:t>ew methods for exploring the development and teaching of information literacy</w:t>
      </w:r>
      <w:r>
        <w:rPr>
          <w:rFonts w:eastAsia="Arial" w:cs="Arial"/>
        </w:rPr>
        <w:t xml:space="preserve">. London: Facet Publishing. pp. 201. ISBN 9781783304172. £72.50. </w:t>
      </w:r>
      <w:proofErr w:type="spellStart"/>
      <w:r>
        <w:rPr>
          <w:rFonts w:eastAsia="Arial" w:cs="Arial"/>
        </w:rPr>
        <w:t>Hbk</w:t>
      </w:r>
      <w:proofErr w:type="spellEnd"/>
      <w:r w:rsidR="00105682">
        <w:rPr>
          <w:rFonts w:eastAsia="Arial" w:cs="Arial"/>
        </w:rPr>
        <w:t>.</w:t>
      </w:r>
    </w:p>
    <w:p w14:paraId="57132D27" w14:textId="77777777" w:rsidR="00652C52" w:rsidRDefault="00652C52" w:rsidP="00984F29"/>
    <w:p w14:paraId="15B81427" w14:textId="05858D93" w:rsidR="005D10C8" w:rsidRDefault="00045DE4" w:rsidP="00105682">
      <w:pPr>
        <w:rPr>
          <w:shd w:val="clear" w:color="auto" w:fill="FFFFFF"/>
        </w:rPr>
      </w:pPr>
      <w:r>
        <w:rPr>
          <w:shd w:val="clear" w:color="auto" w:fill="FFFFFF"/>
        </w:rPr>
        <w:t xml:space="preserve">Whitworth’s </w:t>
      </w:r>
      <w:r>
        <w:rPr>
          <w:i/>
          <w:iCs/>
          <w:shd w:val="clear" w:color="auto" w:fill="FFFFFF"/>
        </w:rPr>
        <w:t>Mapping Information Landscapes</w:t>
      </w:r>
      <w:r>
        <w:rPr>
          <w:shd w:val="clear" w:color="auto" w:fill="FFFFFF"/>
        </w:rPr>
        <w:t>, published in 2020,</w:t>
      </w:r>
      <w:r>
        <w:rPr>
          <w:i/>
          <w:iCs/>
          <w:shd w:val="clear" w:color="auto" w:fill="FFFFFF"/>
        </w:rPr>
        <w:t xml:space="preserve"> </w:t>
      </w:r>
      <w:r>
        <w:rPr>
          <w:shd w:val="clear" w:color="auto" w:fill="FFFFFF"/>
        </w:rPr>
        <w:t>is a book of interest to teachers and educators, especially those in the information profession with a focus on information literacy</w:t>
      </w:r>
      <w:r w:rsidR="005F7508">
        <w:rPr>
          <w:shd w:val="clear" w:color="auto" w:fill="FFFFFF"/>
        </w:rPr>
        <w:t xml:space="preserve"> (IL)</w:t>
      </w:r>
      <w:r>
        <w:rPr>
          <w:shd w:val="clear" w:color="auto" w:fill="FFFFFF"/>
        </w:rPr>
        <w:t xml:space="preserve">. The </w:t>
      </w:r>
      <w:r w:rsidRPr="00DB5DF1">
        <w:rPr>
          <w:i/>
          <w:iCs/>
          <w:shd w:val="clear" w:color="auto" w:fill="FFFFFF"/>
        </w:rPr>
        <w:t>information landscape</w:t>
      </w:r>
      <w:r>
        <w:rPr>
          <w:shd w:val="clear" w:color="auto" w:fill="FFFFFF"/>
        </w:rPr>
        <w:t>, a term that many of us may be familiar with but have not fully considered, is dissected by the author who guides the reader through how mapping can help learners in navigating this landscape.</w:t>
      </w:r>
    </w:p>
    <w:p w14:paraId="352003DB" w14:textId="77777777" w:rsidR="00105682" w:rsidRDefault="00105682" w:rsidP="00105682">
      <w:pPr>
        <w:rPr>
          <w:shd w:val="clear" w:color="auto" w:fill="FFFFFF"/>
        </w:rPr>
      </w:pPr>
    </w:p>
    <w:p w14:paraId="51E9CD9F" w14:textId="655CD6D1" w:rsidR="00855E4D" w:rsidRDefault="00045DE4" w:rsidP="00105682">
      <w:pPr>
        <w:rPr>
          <w:shd w:val="clear" w:color="auto" w:fill="FFFFFF"/>
        </w:rPr>
      </w:pPr>
      <w:r>
        <w:rPr>
          <w:shd w:val="clear" w:color="auto" w:fill="FFFFFF"/>
        </w:rPr>
        <w:t xml:space="preserve">With extensive research and theory at its foundation, the author begins the book in chapter </w:t>
      </w:r>
      <w:r w:rsidR="00DB5DF1">
        <w:rPr>
          <w:shd w:val="clear" w:color="auto" w:fill="FFFFFF"/>
        </w:rPr>
        <w:t>one</w:t>
      </w:r>
      <w:r>
        <w:rPr>
          <w:shd w:val="clear" w:color="auto" w:fill="FFFFFF"/>
        </w:rPr>
        <w:t xml:space="preserve"> with the fundamentals of </w:t>
      </w:r>
      <w:r w:rsidR="005F7508">
        <w:rPr>
          <w:shd w:val="clear" w:color="auto" w:fill="FFFFFF"/>
        </w:rPr>
        <w:t>IL</w:t>
      </w:r>
      <w:r>
        <w:rPr>
          <w:shd w:val="clear" w:color="auto" w:fill="FFFFFF"/>
        </w:rPr>
        <w:t xml:space="preserve"> before diving into the complexities of mapping: “understanding the nature of information literacy requires us to explore how people experience information in context”</w:t>
      </w:r>
      <w:r w:rsidR="00EC09ED">
        <w:rPr>
          <w:shd w:val="clear" w:color="auto" w:fill="FFFFFF"/>
        </w:rPr>
        <w:t xml:space="preserve"> (Whitworth, 2020, p. 19)</w:t>
      </w:r>
      <w:r w:rsidR="000F57D0">
        <w:rPr>
          <w:shd w:val="clear" w:color="auto" w:fill="FFFFFF"/>
        </w:rPr>
        <w:t>.</w:t>
      </w:r>
      <w:r w:rsidR="001C0585">
        <w:rPr>
          <w:shd w:val="clear" w:color="auto" w:fill="FFFFFF"/>
        </w:rPr>
        <w:t xml:space="preserve"> </w:t>
      </w:r>
      <w:r>
        <w:rPr>
          <w:shd w:val="clear" w:color="auto" w:fill="FFFFFF"/>
        </w:rPr>
        <w:t xml:space="preserve">We gain insight into how </w:t>
      </w:r>
      <w:r w:rsidR="005F7508">
        <w:rPr>
          <w:shd w:val="clear" w:color="auto" w:fill="FFFFFF"/>
        </w:rPr>
        <w:t>IL</w:t>
      </w:r>
      <w:r>
        <w:rPr>
          <w:shd w:val="clear" w:color="auto" w:fill="FFFFFF"/>
        </w:rPr>
        <w:t xml:space="preserve"> is not merely a technical proficiency but a practice that is impacted by many factors including our environment and journey through a landscape.</w:t>
      </w:r>
    </w:p>
    <w:p w14:paraId="3CBF0E4B" w14:textId="77777777" w:rsidR="00105682" w:rsidRDefault="00105682" w:rsidP="00105682">
      <w:pPr>
        <w:rPr>
          <w:shd w:val="clear" w:color="auto" w:fill="FFFFFF"/>
        </w:rPr>
      </w:pPr>
    </w:p>
    <w:p w14:paraId="52DA56A7" w14:textId="5C2651E3" w:rsidR="008D3519" w:rsidRDefault="00045DE4" w:rsidP="00105682">
      <w:pPr>
        <w:rPr>
          <w:shd w:val="clear" w:color="auto" w:fill="FFFFFF"/>
        </w:rPr>
      </w:pPr>
      <w:r>
        <w:rPr>
          <w:shd w:val="clear" w:color="auto" w:fill="FFFFFF"/>
        </w:rPr>
        <w:t xml:space="preserve">To ease the reader into how mapping relates to </w:t>
      </w:r>
      <w:r w:rsidR="005F7508">
        <w:rPr>
          <w:shd w:val="clear" w:color="auto" w:fill="FFFFFF"/>
        </w:rPr>
        <w:t>IL</w:t>
      </w:r>
      <w:r>
        <w:rPr>
          <w:shd w:val="clear" w:color="auto" w:fill="FFFFFF"/>
        </w:rPr>
        <w:t>, Whitworth provides an engaging introduction to its history</w:t>
      </w:r>
      <w:r w:rsidR="00DB5DF1">
        <w:rPr>
          <w:shd w:val="clear" w:color="auto" w:fill="FFFFFF"/>
        </w:rPr>
        <w:t xml:space="preserve"> in chapter two</w:t>
      </w:r>
      <w:r>
        <w:rPr>
          <w:shd w:val="clear" w:color="auto" w:fill="FFFFFF"/>
        </w:rPr>
        <w:t>, enthusiastically explaining how mapping has been used for centuries to help people make sense of information in the world.</w:t>
      </w:r>
      <w:r w:rsidR="00DB5DF1">
        <w:rPr>
          <w:shd w:val="clear" w:color="auto" w:fill="FFFFFF"/>
        </w:rPr>
        <w:t xml:space="preserve"> </w:t>
      </w:r>
      <w:r>
        <w:rPr>
          <w:shd w:val="clear" w:color="auto" w:fill="FFFFFF"/>
        </w:rPr>
        <w:t>Relatable examples that may not be considered maps in a traditional sense include spreadsheets, which calculate and display values in relation to each other, and organisational charts</w:t>
      </w:r>
      <w:r w:rsidR="008D3519">
        <w:rPr>
          <w:shd w:val="clear" w:color="auto" w:fill="FFFFFF"/>
        </w:rPr>
        <w:t xml:space="preserve"> mapping non-geographical relationships</w:t>
      </w:r>
      <w:r w:rsidR="00EC09ED">
        <w:rPr>
          <w:shd w:val="clear" w:color="auto" w:fill="FFFFFF"/>
        </w:rPr>
        <w:t xml:space="preserve"> (Whitworth, 2020, p. 25).</w:t>
      </w:r>
      <w:r w:rsidR="008D3519">
        <w:rPr>
          <w:shd w:val="clear" w:color="auto" w:fill="FFFFFF"/>
        </w:rPr>
        <w:t xml:space="preserve"> With more </w:t>
      </w:r>
      <w:r w:rsidR="00DF5853">
        <w:rPr>
          <w:shd w:val="clear" w:color="auto" w:fill="FFFFFF"/>
        </w:rPr>
        <w:t>conventional</w:t>
      </w:r>
      <w:r w:rsidR="008D3519">
        <w:rPr>
          <w:shd w:val="clear" w:color="auto" w:fill="FFFFFF"/>
        </w:rPr>
        <w:t xml:space="preserve"> examples such as the Ordnance Survey and</w:t>
      </w:r>
      <w:r w:rsidR="00DF5853">
        <w:rPr>
          <w:shd w:val="clear" w:color="auto" w:fill="FFFFFF"/>
        </w:rPr>
        <w:t xml:space="preserve"> Hereford</w:t>
      </w:r>
      <w:r w:rsidR="008D3519">
        <w:rPr>
          <w:shd w:val="clear" w:color="auto" w:fill="FFFFFF"/>
        </w:rPr>
        <w:t xml:space="preserve"> </w:t>
      </w:r>
      <w:proofErr w:type="spellStart"/>
      <w:r w:rsidR="008D3519">
        <w:rPr>
          <w:shd w:val="clear" w:color="auto" w:fill="FFFFFF"/>
        </w:rPr>
        <w:t>Mappa</w:t>
      </w:r>
      <w:proofErr w:type="spellEnd"/>
      <w:r w:rsidR="008D3519">
        <w:rPr>
          <w:shd w:val="clear" w:color="auto" w:fill="FFFFFF"/>
        </w:rPr>
        <w:t xml:space="preserve"> Mundi also draw</w:t>
      </w:r>
      <w:r w:rsidR="00DF5853">
        <w:rPr>
          <w:shd w:val="clear" w:color="auto" w:fill="FFFFFF"/>
        </w:rPr>
        <w:t>n</w:t>
      </w:r>
      <w:r w:rsidR="008D3519">
        <w:rPr>
          <w:shd w:val="clear" w:color="auto" w:fill="FFFFFF"/>
        </w:rPr>
        <w:t xml:space="preserve"> upon, the author convincingly explains the varied formats of maps and their place in recording, presenting and making sense of information.</w:t>
      </w:r>
      <w:r w:rsidR="00DB5DF1">
        <w:rPr>
          <w:shd w:val="clear" w:color="auto" w:fill="FFFFFF"/>
        </w:rPr>
        <w:t xml:space="preserve"> </w:t>
      </w:r>
      <w:r>
        <w:rPr>
          <w:shd w:val="clear" w:color="auto" w:fill="FFFFFF"/>
        </w:rPr>
        <w:t xml:space="preserve">The differentiation between place and space in chapter </w:t>
      </w:r>
      <w:r w:rsidR="00DB5DF1">
        <w:rPr>
          <w:shd w:val="clear" w:color="auto" w:fill="FFFFFF"/>
        </w:rPr>
        <w:t>two</w:t>
      </w:r>
      <w:r>
        <w:rPr>
          <w:shd w:val="clear" w:color="auto" w:fill="FFFFFF"/>
        </w:rPr>
        <w:t xml:space="preserve"> is particularly interesting. A </w:t>
      </w:r>
      <w:r w:rsidRPr="00DB5DF1">
        <w:rPr>
          <w:i/>
          <w:iCs/>
          <w:shd w:val="clear" w:color="auto" w:fill="FFFFFF"/>
        </w:rPr>
        <w:t>space</w:t>
      </w:r>
      <w:r>
        <w:rPr>
          <w:shd w:val="clear" w:color="auto" w:fill="FFFFFF"/>
        </w:rPr>
        <w:t xml:space="preserve"> can be thought of as a geographical location, but </w:t>
      </w:r>
      <w:r w:rsidRPr="002A4B1B">
        <w:rPr>
          <w:i/>
          <w:iCs/>
          <w:shd w:val="clear" w:color="auto" w:fill="FFFFFF"/>
        </w:rPr>
        <w:t>place</w:t>
      </w:r>
      <w:r>
        <w:rPr>
          <w:shd w:val="clear" w:color="auto" w:fill="FFFFFF"/>
        </w:rPr>
        <w:t xml:space="preserve"> is more than that</w:t>
      </w:r>
      <w:r w:rsidR="00847974">
        <w:rPr>
          <w:shd w:val="clear" w:color="auto" w:fill="FFFFFF"/>
        </w:rPr>
        <w:t>. Place is about community and their social practices</w:t>
      </w:r>
      <w:r w:rsidR="002A4B1B">
        <w:rPr>
          <w:shd w:val="clear" w:color="auto" w:fill="FFFFFF"/>
        </w:rPr>
        <w:t>:</w:t>
      </w:r>
      <w:r w:rsidR="00847974">
        <w:rPr>
          <w:shd w:val="clear" w:color="auto" w:fill="FFFFFF"/>
        </w:rPr>
        <w:t xml:space="preserve"> “information landscapes are outcomes of </w:t>
      </w:r>
      <w:r w:rsidR="00847974">
        <w:rPr>
          <w:shd w:val="clear" w:color="auto" w:fill="FFFFFF"/>
        </w:rPr>
        <w:lastRenderedPageBreak/>
        <w:t>… place, and the material, cognitive and affective basis of practice”</w:t>
      </w:r>
      <w:r w:rsidR="00EC09ED">
        <w:rPr>
          <w:shd w:val="clear" w:color="auto" w:fill="FFFFFF"/>
        </w:rPr>
        <w:t xml:space="preserve"> (Whitworth, 2020, p. 29)</w:t>
      </w:r>
      <w:r w:rsidR="00847974">
        <w:rPr>
          <w:shd w:val="clear" w:color="auto" w:fill="FFFFFF"/>
        </w:rPr>
        <w:t xml:space="preserve">. </w:t>
      </w:r>
      <w:r w:rsidR="00DF5853">
        <w:rPr>
          <w:shd w:val="clear" w:color="auto" w:fill="FFFFFF"/>
        </w:rPr>
        <w:t>Also, i</w:t>
      </w:r>
      <w:r w:rsidR="00847974">
        <w:rPr>
          <w:shd w:val="clear" w:color="auto" w:fill="FFFFFF"/>
        </w:rPr>
        <w:t>nteresting to consider is how the position of the mapmaker, whether, for instance, geographical or political, impacts mapping</w:t>
      </w:r>
      <w:r w:rsidR="00DF5853">
        <w:rPr>
          <w:shd w:val="clear" w:color="auto" w:fill="FFFFFF"/>
        </w:rPr>
        <w:t xml:space="preserve"> and</w:t>
      </w:r>
      <w:r w:rsidR="00847974">
        <w:rPr>
          <w:shd w:val="clear" w:color="auto" w:fill="FFFFFF"/>
        </w:rPr>
        <w:t xml:space="preserve"> how the map is presented through their understanding and to an audience whose environment </w:t>
      </w:r>
      <w:r w:rsidR="00DF5853">
        <w:rPr>
          <w:shd w:val="clear" w:color="auto" w:fill="FFFFFF"/>
        </w:rPr>
        <w:t xml:space="preserve">may </w:t>
      </w:r>
      <w:r w:rsidR="00847974">
        <w:rPr>
          <w:shd w:val="clear" w:color="auto" w:fill="FFFFFF"/>
        </w:rPr>
        <w:t>prompt a different interpretation</w:t>
      </w:r>
      <w:r w:rsidR="00976CC4">
        <w:rPr>
          <w:shd w:val="clear" w:color="auto" w:fill="FFFFFF"/>
        </w:rPr>
        <w:t xml:space="preserve"> of the information</w:t>
      </w:r>
      <w:r w:rsidR="00E05B63">
        <w:rPr>
          <w:shd w:val="clear" w:color="auto" w:fill="FFFFFF"/>
        </w:rPr>
        <w:t xml:space="preserve"> (Whitworth, 2020, p. 50)</w:t>
      </w:r>
      <w:r w:rsidR="002A4B1B">
        <w:rPr>
          <w:shd w:val="clear" w:color="auto" w:fill="FFFFFF"/>
        </w:rPr>
        <w:t>.</w:t>
      </w:r>
      <w:r w:rsidR="00976CC4">
        <w:rPr>
          <w:shd w:val="clear" w:color="auto" w:fill="FFFFFF"/>
        </w:rPr>
        <w:t xml:space="preserve"> The author effectively ties together the connection between maps and information in an understandable way.</w:t>
      </w:r>
    </w:p>
    <w:p w14:paraId="377897D4" w14:textId="77777777" w:rsidR="00105682" w:rsidRDefault="00105682" w:rsidP="00105682">
      <w:pPr>
        <w:rPr>
          <w:shd w:val="clear" w:color="auto" w:fill="FFFFFF"/>
        </w:rPr>
      </w:pPr>
    </w:p>
    <w:p w14:paraId="1D3B1F69" w14:textId="1F839291" w:rsidR="00976CC4" w:rsidRDefault="00045DE4" w:rsidP="00105682">
      <w:pPr>
        <w:rPr>
          <w:shd w:val="clear" w:color="auto" w:fill="FFFFFF"/>
        </w:rPr>
      </w:pPr>
      <w:r>
        <w:rPr>
          <w:shd w:val="clear" w:color="auto" w:fill="FFFFFF"/>
        </w:rPr>
        <w:t xml:space="preserve">In chapter </w:t>
      </w:r>
      <w:r w:rsidR="00DB5DF1">
        <w:rPr>
          <w:shd w:val="clear" w:color="auto" w:fill="FFFFFF"/>
        </w:rPr>
        <w:t>two</w:t>
      </w:r>
      <w:r>
        <w:rPr>
          <w:shd w:val="clear" w:color="auto" w:fill="FFFFFF"/>
        </w:rPr>
        <w:t>, we move on to mapping and power, a short</w:t>
      </w:r>
      <w:r w:rsidR="00D6629B">
        <w:rPr>
          <w:shd w:val="clear" w:color="auto" w:fill="FFFFFF"/>
        </w:rPr>
        <w:t xml:space="preserve">, </w:t>
      </w:r>
      <w:r>
        <w:rPr>
          <w:shd w:val="clear" w:color="auto" w:fill="FFFFFF"/>
        </w:rPr>
        <w:t>impactful section that emphasises discursive mapping, neatly summed up as follows: “the processes of dialogue, abstraction, organisation, representation and communication that [create maps] fundamentally shapes the information practices within social settings”</w:t>
      </w:r>
      <w:r w:rsidR="00E05B63">
        <w:rPr>
          <w:shd w:val="clear" w:color="auto" w:fill="FFFFFF"/>
        </w:rPr>
        <w:t xml:space="preserve"> (Whitworth, 2020, p. 51)</w:t>
      </w:r>
      <w:r>
        <w:rPr>
          <w:shd w:val="clear" w:color="auto" w:fill="FFFFFF"/>
        </w:rPr>
        <w:t xml:space="preserve">. </w:t>
      </w:r>
      <w:r w:rsidR="00D6629B">
        <w:rPr>
          <w:shd w:val="clear" w:color="auto" w:fill="FFFFFF"/>
        </w:rPr>
        <w:t xml:space="preserve">We move into understanding not physical mapping, as previously outlined, but </w:t>
      </w:r>
      <w:r w:rsidR="00D6629B" w:rsidRPr="00DB5DF1">
        <w:rPr>
          <w:i/>
          <w:iCs/>
          <w:shd w:val="clear" w:color="auto" w:fill="FFFFFF"/>
        </w:rPr>
        <w:t>cognitive schema</w:t>
      </w:r>
      <w:r w:rsidR="00D6629B">
        <w:rPr>
          <w:shd w:val="clear" w:color="auto" w:fill="FFFFFF"/>
        </w:rPr>
        <w:t xml:space="preserve"> and how information is organised in our minds, a theme that continues through the rest of the book. Particularly enjoyable is the next chapter where Whitworth takes the reader on a tour of three places (Manchester, Crowborough and Seaford), demonstrating through practical examples how an individual navigates physical landscapes of varying familiarity using information in the form of memory and physical aids.</w:t>
      </w:r>
    </w:p>
    <w:p w14:paraId="57BE7B34" w14:textId="77777777" w:rsidR="00105682" w:rsidRDefault="00105682" w:rsidP="00105682">
      <w:pPr>
        <w:rPr>
          <w:shd w:val="clear" w:color="auto" w:fill="FFFFFF"/>
        </w:rPr>
      </w:pPr>
    </w:p>
    <w:p w14:paraId="0030B15A" w14:textId="442AB254" w:rsidR="00F44899" w:rsidRDefault="00045DE4" w:rsidP="00105682">
      <w:pPr>
        <w:rPr>
          <w:shd w:val="clear" w:color="auto" w:fill="FFFFFF"/>
        </w:rPr>
      </w:pPr>
      <w:r>
        <w:rPr>
          <w:shd w:val="clear" w:color="auto" w:fill="FFFFFF"/>
        </w:rPr>
        <w:t xml:space="preserve">This neatly drives the reader on to chapter </w:t>
      </w:r>
      <w:r w:rsidR="00DB5DF1">
        <w:rPr>
          <w:shd w:val="clear" w:color="auto" w:fill="FFFFFF"/>
        </w:rPr>
        <w:t>five</w:t>
      </w:r>
      <w:r>
        <w:rPr>
          <w:shd w:val="clear" w:color="auto" w:fill="FFFFFF"/>
        </w:rPr>
        <w:t xml:space="preserve"> where we move on from what Whitworth describes as intuitive mapping, as seen in the previous chapter demonstrated through navigating a physical landscape, and on to </w:t>
      </w:r>
      <w:r w:rsidRPr="00962518">
        <w:rPr>
          <w:i/>
          <w:iCs/>
          <w:shd w:val="clear" w:color="auto" w:fill="FFFFFF"/>
        </w:rPr>
        <w:t>conscious</w:t>
      </w:r>
      <w:r>
        <w:rPr>
          <w:shd w:val="clear" w:color="auto" w:fill="FFFFFF"/>
        </w:rPr>
        <w:t xml:space="preserve"> mapping</w:t>
      </w:r>
      <w:r w:rsidR="00DB5DF1">
        <w:rPr>
          <w:shd w:val="clear" w:color="auto" w:fill="FFFFFF"/>
        </w:rPr>
        <w:t xml:space="preserve"> (Whitworth, 2020, pp. 85</w:t>
      </w:r>
      <w:r w:rsidR="00BC5809">
        <w:rPr>
          <w:shd w:val="clear" w:color="auto" w:fill="FFFFFF"/>
        </w:rPr>
        <w:t>–</w:t>
      </w:r>
      <w:r w:rsidR="00DB5DF1">
        <w:rPr>
          <w:shd w:val="clear" w:color="auto" w:fill="FFFFFF"/>
        </w:rPr>
        <w:t>86).</w:t>
      </w:r>
      <w:r w:rsidR="003108BB">
        <w:rPr>
          <w:shd w:val="clear" w:color="auto" w:fill="FFFFFF"/>
        </w:rPr>
        <w:t xml:space="preserve"> We are walked through case studies and introduced </w:t>
      </w:r>
      <w:r w:rsidR="00962518">
        <w:rPr>
          <w:shd w:val="clear" w:color="auto" w:fill="FFFFFF"/>
        </w:rPr>
        <w:t xml:space="preserve">to </w:t>
      </w:r>
      <w:r w:rsidR="003108BB">
        <w:rPr>
          <w:shd w:val="clear" w:color="auto" w:fill="FFFFFF"/>
        </w:rPr>
        <w:t xml:space="preserve">the </w:t>
      </w:r>
      <w:proofErr w:type="spellStart"/>
      <w:r w:rsidR="003108BB">
        <w:rPr>
          <w:shd w:val="clear" w:color="auto" w:fill="FFFFFF"/>
        </w:rPr>
        <w:t>Ketso</w:t>
      </w:r>
      <w:proofErr w:type="spellEnd"/>
      <w:r w:rsidR="003108BB">
        <w:rPr>
          <w:shd w:val="clear" w:color="auto" w:fill="FFFFFF"/>
        </w:rPr>
        <w:t xml:space="preserve"> map, a concept mapping tool. Whitworth demonstrates how “concept mapping is … useful when participants have literacy deficits of some kind … it could be an </w:t>
      </w:r>
      <w:r w:rsidR="003108BB" w:rsidRPr="00E247CD">
        <w:rPr>
          <w:i/>
          <w:iCs/>
          <w:shd w:val="clear" w:color="auto" w:fill="FFFFFF"/>
        </w:rPr>
        <w:t>information</w:t>
      </w:r>
      <w:r w:rsidR="003108BB">
        <w:rPr>
          <w:shd w:val="clear" w:color="auto" w:fill="FFFFFF"/>
        </w:rPr>
        <w:t xml:space="preserve"> literacy deficit, where knowledge must be shared between groups who are not necessarily familiar with keywords or forms of expression used in certain settings”</w:t>
      </w:r>
      <w:r w:rsidR="00E05B63">
        <w:rPr>
          <w:shd w:val="clear" w:color="auto" w:fill="FFFFFF"/>
        </w:rPr>
        <w:t xml:space="preserve"> (Whitworth, 2020, p. 90)</w:t>
      </w:r>
      <w:r w:rsidR="003108BB">
        <w:rPr>
          <w:shd w:val="clear" w:color="auto" w:fill="FFFFFF"/>
        </w:rPr>
        <w:t>.</w:t>
      </w:r>
      <w:r w:rsidR="00962518">
        <w:rPr>
          <w:shd w:val="clear" w:color="auto" w:fill="FFFFFF"/>
        </w:rPr>
        <w:t xml:space="preserve"> This chapter focuses on learners doing the mapping and how it can help them “find </w:t>
      </w:r>
      <w:r w:rsidR="00723E52">
        <w:rPr>
          <w:shd w:val="clear" w:color="auto" w:fill="FFFFFF"/>
        </w:rPr>
        <w:t>a</w:t>
      </w:r>
      <w:r w:rsidR="00962518">
        <w:rPr>
          <w:shd w:val="clear" w:color="auto" w:fill="FFFFFF"/>
        </w:rPr>
        <w:t xml:space="preserve"> way”</w:t>
      </w:r>
      <w:r w:rsidR="00E05B63">
        <w:rPr>
          <w:shd w:val="clear" w:color="auto" w:fill="FFFFFF"/>
        </w:rPr>
        <w:t xml:space="preserve"> (Whitworth, 2020, p. 98)</w:t>
      </w:r>
      <w:r w:rsidR="00962518">
        <w:rPr>
          <w:shd w:val="clear" w:color="auto" w:fill="FFFFFF"/>
        </w:rPr>
        <w:t xml:space="preserve">. The reader begins to see how </w:t>
      </w:r>
      <w:r w:rsidR="00A82B5E">
        <w:rPr>
          <w:shd w:val="clear" w:color="auto" w:fill="FFFFFF"/>
        </w:rPr>
        <w:t xml:space="preserve">the process and product of </w:t>
      </w:r>
      <w:r w:rsidR="00962518">
        <w:rPr>
          <w:shd w:val="clear" w:color="auto" w:fill="FFFFFF"/>
        </w:rPr>
        <w:t>mapping can practically help a learner navigate information.</w:t>
      </w:r>
    </w:p>
    <w:p w14:paraId="4F018037" w14:textId="77777777" w:rsidR="00105682" w:rsidRDefault="00105682" w:rsidP="00105682">
      <w:pPr>
        <w:rPr>
          <w:shd w:val="clear" w:color="auto" w:fill="FFFFFF"/>
        </w:rPr>
      </w:pPr>
    </w:p>
    <w:p w14:paraId="57A8ABA5" w14:textId="6E23A1BE" w:rsidR="00D6629B" w:rsidRDefault="00045DE4" w:rsidP="00105682">
      <w:pPr>
        <w:rPr>
          <w:shd w:val="clear" w:color="auto" w:fill="FFFFFF"/>
        </w:rPr>
      </w:pPr>
      <w:r>
        <w:rPr>
          <w:shd w:val="clear" w:color="auto" w:fill="FFFFFF"/>
        </w:rPr>
        <w:t xml:space="preserve">In the penultimate chapter </w:t>
      </w:r>
      <w:r w:rsidR="00BC5809">
        <w:rPr>
          <w:shd w:val="clear" w:color="auto" w:fill="FFFFFF"/>
        </w:rPr>
        <w:t>six</w:t>
      </w:r>
      <w:r>
        <w:rPr>
          <w:shd w:val="clear" w:color="auto" w:fill="FFFFFF"/>
        </w:rPr>
        <w:t xml:space="preserve">, we explore discursive mapping. As in the previous chapter, we are introduced to case studies which demonstrate through student group assessment how discursive mapping and dialogue encourage group judgements as they navigate information: “the design of these activities offers a framework or </w:t>
      </w:r>
      <w:r w:rsidRPr="001A4130">
        <w:rPr>
          <w:i/>
          <w:iCs/>
          <w:shd w:val="clear" w:color="auto" w:fill="FFFFFF"/>
        </w:rPr>
        <w:t>practice architecture</w:t>
      </w:r>
      <w:r>
        <w:rPr>
          <w:shd w:val="clear" w:color="auto" w:fill="FFFFFF"/>
        </w:rPr>
        <w:t xml:space="preserve"> in which students get practical experience in building around them an information landscape that helps them meet </w:t>
      </w:r>
      <w:r w:rsidRPr="006F349E">
        <w:rPr>
          <w:i/>
          <w:iCs/>
          <w:shd w:val="clear" w:color="auto" w:fill="FFFFFF"/>
        </w:rPr>
        <w:t>collective</w:t>
      </w:r>
      <w:r>
        <w:rPr>
          <w:shd w:val="clear" w:color="auto" w:fill="FFFFFF"/>
        </w:rPr>
        <w:t xml:space="preserve"> learning goals”</w:t>
      </w:r>
      <w:r w:rsidR="00E05B63">
        <w:rPr>
          <w:shd w:val="clear" w:color="auto" w:fill="FFFFFF"/>
        </w:rPr>
        <w:t xml:space="preserve"> (Whitworth, 2020, p. 144)</w:t>
      </w:r>
      <w:r w:rsidR="00B67422">
        <w:rPr>
          <w:shd w:val="clear" w:color="auto" w:fill="FFFFFF"/>
        </w:rPr>
        <w:t>.</w:t>
      </w:r>
      <w:r w:rsidR="00A82B5E">
        <w:rPr>
          <w:shd w:val="clear" w:color="auto" w:fill="FFFFFF"/>
        </w:rPr>
        <w:t xml:space="preserve"> The author makes clear that, whilst this kind of </w:t>
      </w:r>
      <w:r w:rsidR="00E32D7C">
        <w:rPr>
          <w:shd w:val="clear" w:color="auto" w:fill="FFFFFF"/>
        </w:rPr>
        <w:t>discursive mapping is less tangible than a physical graphical map, it is nonetheless valuable in aiding the students’ understanding and navigati</w:t>
      </w:r>
      <w:r>
        <w:rPr>
          <w:shd w:val="clear" w:color="auto" w:fill="FFFFFF"/>
        </w:rPr>
        <w:t>o</w:t>
      </w:r>
      <w:r w:rsidR="00E32D7C">
        <w:rPr>
          <w:shd w:val="clear" w:color="auto" w:fill="FFFFFF"/>
        </w:rPr>
        <w:t>n of information.</w:t>
      </w:r>
    </w:p>
    <w:p w14:paraId="7CCDB579" w14:textId="77777777" w:rsidR="00D6629B" w:rsidRDefault="00D6629B" w:rsidP="00105682">
      <w:pPr>
        <w:rPr>
          <w:shd w:val="clear" w:color="auto" w:fill="FFFFFF"/>
        </w:rPr>
      </w:pPr>
    </w:p>
    <w:p w14:paraId="7AB7EFAB" w14:textId="02D8331A" w:rsidR="00E32D7C" w:rsidRDefault="00045DE4" w:rsidP="00105682">
      <w:pPr>
        <w:rPr>
          <w:shd w:val="clear" w:color="auto" w:fill="FFFFFF"/>
        </w:rPr>
      </w:pPr>
      <w:r>
        <w:rPr>
          <w:shd w:val="clear" w:color="auto" w:fill="FFFFFF"/>
        </w:rPr>
        <w:t xml:space="preserve">The conclusion, chapter </w:t>
      </w:r>
      <w:r w:rsidR="00BC5809">
        <w:rPr>
          <w:shd w:val="clear" w:color="auto" w:fill="FFFFFF"/>
        </w:rPr>
        <w:t>seven</w:t>
      </w:r>
      <w:r>
        <w:rPr>
          <w:shd w:val="clear" w:color="auto" w:fill="FFFFFF"/>
        </w:rPr>
        <w:t xml:space="preserve">, brings the reader back round to </w:t>
      </w:r>
      <w:r w:rsidR="005F7508">
        <w:rPr>
          <w:shd w:val="clear" w:color="auto" w:fill="FFFFFF"/>
        </w:rPr>
        <w:t>IL</w:t>
      </w:r>
      <w:r>
        <w:rPr>
          <w:shd w:val="clear" w:color="auto" w:fill="FFFFFF"/>
        </w:rPr>
        <w:t xml:space="preserve">. We revisit power: “how we are positioned with respect to the </w:t>
      </w:r>
      <w:r>
        <w:rPr>
          <w:i/>
          <w:iCs/>
          <w:shd w:val="clear" w:color="auto" w:fill="FFFFFF"/>
        </w:rPr>
        <w:t>places</w:t>
      </w:r>
      <w:r>
        <w:rPr>
          <w:shd w:val="clear" w:color="auto" w:fill="FFFFFF"/>
        </w:rPr>
        <w:t xml:space="preserve"> in which … authority is invested … will shape the definition of information literacy in that context”</w:t>
      </w:r>
      <w:r w:rsidR="00E05B63">
        <w:rPr>
          <w:shd w:val="clear" w:color="auto" w:fill="FFFFFF"/>
        </w:rPr>
        <w:t xml:space="preserve"> (Whitworth, 2020, p. 174)</w:t>
      </w:r>
      <w:r>
        <w:rPr>
          <w:shd w:val="clear" w:color="auto" w:fill="FFFFFF"/>
        </w:rPr>
        <w:t xml:space="preserve">. The importance of community is raised, </w:t>
      </w:r>
      <w:r w:rsidR="00D6629B">
        <w:rPr>
          <w:shd w:val="clear" w:color="auto" w:fill="FFFFFF"/>
        </w:rPr>
        <w:t xml:space="preserve">and how </w:t>
      </w:r>
      <w:r>
        <w:rPr>
          <w:shd w:val="clear" w:color="auto" w:fill="FFFFFF"/>
        </w:rPr>
        <w:t xml:space="preserve">we collectively </w:t>
      </w:r>
      <w:r w:rsidR="004F208A">
        <w:rPr>
          <w:shd w:val="clear" w:color="auto" w:fill="FFFFFF"/>
        </w:rPr>
        <w:t>create and maintain banks of information which contributes to a sense of place and belonging.</w:t>
      </w:r>
    </w:p>
    <w:p w14:paraId="3CF53824" w14:textId="77777777" w:rsidR="00105682" w:rsidRDefault="00105682" w:rsidP="00105682">
      <w:pPr>
        <w:rPr>
          <w:shd w:val="clear" w:color="auto" w:fill="FFFFFF"/>
        </w:rPr>
      </w:pPr>
    </w:p>
    <w:p w14:paraId="7D72781E" w14:textId="1F835977" w:rsidR="00855E4D" w:rsidRPr="00C8614C" w:rsidRDefault="00045DE4" w:rsidP="00105682">
      <w:r>
        <w:t xml:space="preserve">I appreciated the author’s successful efforts to tie together two potentially very separate areas of expertise, maps and </w:t>
      </w:r>
      <w:r w:rsidR="005F7508">
        <w:t>IL</w:t>
      </w:r>
      <w:r>
        <w:t>, to assuredly explain how mapping in various guises can aid teachers and learners in navigating information with practical examples of how this has been and could be achieved in education</w:t>
      </w:r>
      <w:r w:rsidR="00BC5809">
        <w:t>al</w:t>
      </w:r>
      <w:r>
        <w:t xml:space="preserve"> settings. The depth of research and presentation of case studies </w:t>
      </w:r>
      <w:r>
        <w:lastRenderedPageBreak/>
        <w:t xml:space="preserve">provides relatable examples of graphical, concept and </w:t>
      </w:r>
      <w:r w:rsidR="00452C75">
        <w:t>discursive mapping. I would recommend this book to information professionals who would like a fresh take and inspiration on how to present information and engage learners. Others in the education sector would also benefit from the insight into the information world and how learners can be engaged in its navigation.</w:t>
      </w:r>
    </w:p>
    <w:p w14:paraId="2B7700A0" w14:textId="77777777" w:rsidR="00652C52" w:rsidRDefault="00652C52" w:rsidP="00987EB0"/>
    <w:p w14:paraId="0F5FB8FE" w14:textId="77777777" w:rsidR="00BA6168" w:rsidRPr="00105682" w:rsidRDefault="00045DE4" w:rsidP="00105682">
      <w:pPr>
        <w:pStyle w:val="Heading2"/>
        <w:spacing w:before="0" w:after="200"/>
        <w:rPr>
          <w:color w:val="000000"/>
          <w:sz w:val="28"/>
          <w:szCs w:val="28"/>
        </w:rPr>
      </w:pPr>
      <w:r w:rsidRPr="00105682">
        <w:rPr>
          <w:sz w:val="28"/>
          <w:szCs w:val="28"/>
        </w:rPr>
        <w:t>References</w:t>
      </w:r>
    </w:p>
    <w:p w14:paraId="55077A6E" w14:textId="1FFF63FB" w:rsidR="00105682" w:rsidRDefault="00105682" w:rsidP="00BC5809">
      <w:pPr>
        <w:ind w:left="720" w:hanging="720"/>
      </w:pPr>
      <w:r w:rsidRPr="00105682">
        <w:t xml:space="preserve">Whitworth, A. (2020). </w:t>
      </w:r>
      <w:r w:rsidRPr="000367AC">
        <w:rPr>
          <w:i/>
          <w:iCs/>
        </w:rPr>
        <w:t xml:space="preserve">Mapping information landscapes: </w:t>
      </w:r>
      <w:r w:rsidR="000367AC" w:rsidRPr="000367AC">
        <w:rPr>
          <w:i/>
          <w:iCs/>
        </w:rPr>
        <w:t>N</w:t>
      </w:r>
      <w:r w:rsidRPr="000367AC">
        <w:rPr>
          <w:i/>
          <w:iCs/>
        </w:rPr>
        <w:t>ew methods for exploring the development and teaching of information literacy</w:t>
      </w:r>
      <w:r w:rsidRPr="00105682">
        <w:t xml:space="preserve">. Facet Publishing. </w:t>
      </w:r>
    </w:p>
    <w:sectPr w:rsidR="0010568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AAD79" w14:textId="77777777" w:rsidR="00B37C22" w:rsidRDefault="00B37C22">
      <w:r>
        <w:separator/>
      </w:r>
    </w:p>
  </w:endnote>
  <w:endnote w:type="continuationSeparator" w:id="0">
    <w:p w14:paraId="256A1A13" w14:textId="77777777" w:rsidR="00B37C22" w:rsidRDefault="00B3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75C6" w14:textId="77777777" w:rsidR="00652C52" w:rsidRDefault="00652C52">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73585" w14:textId="20F94F1A" w:rsidR="00652C52" w:rsidRPr="00045DE4" w:rsidRDefault="00045DE4">
    <w:pPr>
      <w:pBdr>
        <w:top w:val="nil"/>
        <w:left w:val="nil"/>
        <w:bottom w:val="nil"/>
        <w:right w:val="nil"/>
        <w:between w:val="nil"/>
      </w:pBdr>
      <w:tabs>
        <w:tab w:val="center" w:pos="4680"/>
        <w:tab w:val="right" w:pos="9360"/>
      </w:tabs>
      <w:ind w:right="360"/>
      <w:rPr>
        <w:i/>
        <w:color w:val="000000"/>
        <w:sz w:val="18"/>
        <w:szCs w:val="18"/>
        <w:lang w:val="es-ES"/>
      </w:rPr>
    </w:pPr>
    <w:r w:rsidRPr="00045DE4">
      <w:rPr>
        <w:rFonts w:eastAsia="Arial" w:cs="Arial"/>
        <w:i/>
        <w:color w:val="000000"/>
        <w:sz w:val="18"/>
        <w:szCs w:val="18"/>
        <w:lang w:val="es-ES"/>
      </w:rPr>
      <w:t>JIL, 202</w:t>
    </w:r>
    <w:r w:rsidR="008E195D">
      <w:rPr>
        <w:rFonts w:eastAsia="Arial" w:cs="Arial"/>
        <w:i/>
        <w:color w:val="000000"/>
        <w:sz w:val="18"/>
        <w:szCs w:val="18"/>
        <w:lang w:val="es-ES"/>
      </w:rPr>
      <w:t>5</w:t>
    </w:r>
    <w:r w:rsidRPr="00045DE4">
      <w:rPr>
        <w:rFonts w:eastAsia="Arial" w:cs="Arial"/>
        <w:i/>
        <w:color w:val="000000"/>
        <w:sz w:val="18"/>
        <w:szCs w:val="18"/>
        <w:lang w:val="es-ES"/>
      </w:rPr>
      <w:t xml:space="preserve">, </w:t>
    </w:r>
    <w:r w:rsidR="008E195D">
      <w:rPr>
        <w:rFonts w:eastAsia="Arial" w:cs="Arial"/>
        <w:i/>
        <w:color w:val="000000"/>
        <w:sz w:val="18"/>
        <w:szCs w:val="18"/>
        <w:lang w:val="es-ES"/>
      </w:rPr>
      <w:t>19</w:t>
    </w:r>
    <w:r w:rsidRPr="00045DE4">
      <w:rPr>
        <w:rFonts w:eastAsia="Arial" w:cs="Arial"/>
        <w:i/>
        <w:color w:val="000000"/>
        <w:sz w:val="18"/>
        <w:szCs w:val="18"/>
        <w:lang w:val="es-ES"/>
      </w:rPr>
      <w:t>(</w:t>
    </w:r>
    <w:r w:rsidR="008E195D">
      <w:rPr>
        <w:rFonts w:eastAsia="Arial" w:cs="Arial"/>
        <w:i/>
        <w:color w:val="000000"/>
        <w:sz w:val="18"/>
        <w:szCs w:val="18"/>
        <w:lang w:val="es-ES"/>
      </w:rPr>
      <w:t>2</w:t>
    </w:r>
    <w:r w:rsidRPr="00045DE4">
      <w:rPr>
        <w:rFonts w:eastAsia="Arial" w:cs="Arial"/>
        <w:i/>
        <w:color w:val="000000"/>
        <w:sz w:val="18"/>
        <w:szCs w:val="18"/>
        <w:lang w:val="es-ES"/>
      </w:rPr>
      <w:t>).</w:t>
    </w:r>
  </w:p>
  <w:p w14:paraId="72DCF034" w14:textId="1809ACAA" w:rsidR="00652C52" w:rsidRPr="00045DE4" w:rsidRDefault="00045DE4">
    <w:pPr>
      <w:pBdr>
        <w:top w:val="nil"/>
        <w:left w:val="nil"/>
        <w:bottom w:val="nil"/>
        <w:right w:val="nil"/>
        <w:between w:val="nil"/>
      </w:pBdr>
      <w:tabs>
        <w:tab w:val="center" w:pos="4513"/>
        <w:tab w:val="right" w:pos="9026"/>
      </w:tabs>
      <w:rPr>
        <w:color w:val="000000"/>
        <w:lang w:val="es-ES"/>
      </w:rPr>
    </w:pPr>
    <w:r w:rsidRPr="00045DE4">
      <w:rPr>
        <w:rFonts w:eastAsia="Arial" w:cs="Arial"/>
        <w:i/>
        <w:color w:val="000000"/>
        <w:sz w:val="18"/>
        <w:szCs w:val="18"/>
        <w:lang w:val="es-ES"/>
      </w:rPr>
      <w:t>http://dx.doi.org/10.11645/</w:t>
    </w:r>
    <w:r w:rsidR="008E195D">
      <w:rPr>
        <w:rFonts w:eastAsia="Arial" w:cs="Arial"/>
        <w:i/>
        <w:color w:val="000000"/>
        <w:sz w:val="18"/>
        <w:szCs w:val="18"/>
        <w:lang w:val="es-ES"/>
      </w:rPr>
      <w:t>19</w:t>
    </w:r>
    <w:r w:rsidRPr="00045DE4">
      <w:rPr>
        <w:rFonts w:eastAsia="Arial" w:cs="Arial"/>
        <w:i/>
        <w:color w:val="000000"/>
        <w:sz w:val="18"/>
        <w:szCs w:val="18"/>
        <w:lang w:val="es-ES"/>
      </w:rPr>
      <w:t>.</w:t>
    </w:r>
    <w:r w:rsidR="008E195D">
      <w:rPr>
        <w:rFonts w:eastAsia="Arial" w:cs="Arial"/>
        <w:i/>
        <w:color w:val="000000"/>
        <w:sz w:val="18"/>
        <w:szCs w:val="18"/>
        <w:lang w:val="es-ES"/>
      </w:rPr>
      <w:t>2</w:t>
    </w:r>
    <w:r w:rsidRPr="00045DE4">
      <w:rPr>
        <w:rFonts w:eastAsia="Arial" w:cs="Arial"/>
        <w:i/>
        <w:color w:val="000000"/>
        <w:sz w:val="18"/>
        <w:szCs w:val="18"/>
        <w:lang w:val="es-ES"/>
      </w:rPr>
      <w:t>.</w:t>
    </w:r>
    <w:r w:rsidR="008E195D">
      <w:rPr>
        <w:rFonts w:eastAsia="Arial" w:cs="Arial"/>
        <w:i/>
        <w:color w:val="000000"/>
        <w:sz w:val="18"/>
        <w:szCs w:val="18"/>
        <w:lang w:val="es-ES"/>
      </w:rPr>
      <w:t>806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ACB7" w14:textId="7441862C" w:rsidR="00F21653" w:rsidRPr="00F21653" w:rsidRDefault="00F21653" w:rsidP="00F21653">
    <w:pPr>
      <w:keepNext/>
      <w:rPr>
        <w:rFonts w:eastAsia="Arial" w:cs="Arial"/>
        <w:sz w:val="20"/>
        <w:szCs w:val="20"/>
      </w:rPr>
    </w:pPr>
    <w:r>
      <w:rPr>
        <w:rFonts w:eastAsia="Arial" w:cs="Arial"/>
        <w:sz w:val="18"/>
        <w:szCs w:val="18"/>
      </w:rPr>
      <w:br/>
    </w:r>
    <w:r w:rsidRPr="00F21653">
      <w:rPr>
        <w:rFonts w:eastAsia="Arial" w:cs="Arial"/>
        <w:sz w:val="20"/>
        <w:szCs w:val="20"/>
      </w:rPr>
      <w:t xml:space="preserve">This </w:t>
    </w:r>
    <w:hyperlink r:id="rId1" w:history="1">
      <w:r w:rsidRPr="00F21653">
        <w:rPr>
          <w:rStyle w:val="Hyperlink"/>
          <w:rFonts w:eastAsia="Arial" w:cs="Arial"/>
          <w:sz w:val="20"/>
          <w:szCs w:val="20"/>
        </w:rPr>
        <w:t>Open Access</w:t>
      </w:r>
    </w:hyperlink>
    <w:r w:rsidRPr="00F21653">
      <w:rPr>
        <w:rFonts w:eastAsia="Arial" w:cs="Arial"/>
        <w:sz w:val="20"/>
        <w:szCs w:val="20"/>
      </w:rPr>
      <w:t xml:space="preserve"> work is licensed under a </w:t>
    </w:r>
    <w:hyperlink r:id="rId2" w:history="1">
      <w:r w:rsidRPr="00F21653">
        <w:rPr>
          <w:rStyle w:val="Hyperlink"/>
          <w:rFonts w:eastAsia="Arial" w:cs="Arial"/>
          <w:sz w:val="20"/>
          <w:szCs w:val="20"/>
        </w:rPr>
        <w:t>Creative Commons Attribution-</w:t>
      </w:r>
      <w:proofErr w:type="spellStart"/>
      <w:r w:rsidRPr="00F21653">
        <w:rPr>
          <w:rStyle w:val="Hyperlink"/>
          <w:rFonts w:eastAsia="Arial" w:cs="Arial"/>
          <w:sz w:val="20"/>
          <w:szCs w:val="20"/>
        </w:rPr>
        <w:t>ShareAlike</w:t>
      </w:r>
      <w:proofErr w:type="spellEnd"/>
      <w:r w:rsidRPr="00F21653">
        <w:rPr>
          <w:rStyle w:val="Hyperlink"/>
          <w:rFonts w:eastAsia="Arial" w:cs="Arial"/>
          <w:sz w:val="20"/>
          <w:szCs w:val="20"/>
        </w:rPr>
        <w:t xml:space="preserve"> 4.0 International License</w:t>
      </w:r>
    </w:hyperlink>
    <w:r w:rsidRPr="00F21653">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09445117" w14:textId="77777777" w:rsidR="00652C52" w:rsidRDefault="00652C52">
    <w:pPr>
      <w:keepNext/>
      <w:rPr>
        <w:rFonts w:eastAsia="Arial" w:cs="Arial"/>
        <w:sz w:val="18"/>
        <w:szCs w:val="18"/>
      </w:rPr>
    </w:pPr>
  </w:p>
  <w:p w14:paraId="1CE79934" w14:textId="3169DC87" w:rsidR="00652C52" w:rsidRPr="004D2223" w:rsidRDefault="008E195D">
    <w:pPr>
      <w:keepNext/>
      <w:rPr>
        <w:rFonts w:eastAsia="Arial" w:cs="Arial"/>
        <w:i/>
        <w:color w:val="000000" w:themeColor="text1"/>
        <w:sz w:val="18"/>
        <w:szCs w:val="18"/>
      </w:rPr>
    </w:pPr>
    <w:r>
      <w:rPr>
        <w:rFonts w:eastAsia="Arial" w:cs="Arial"/>
        <w:i/>
        <w:sz w:val="18"/>
        <w:szCs w:val="18"/>
      </w:rPr>
      <w:t>Bond</w:t>
    </w:r>
    <w:r w:rsidR="00045DE4">
      <w:rPr>
        <w:rFonts w:eastAsia="Arial" w:cs="Arial"/>
        <w:i/>
        <w:sz w:val="18"/>
        <w:szCs w:val="18"/>
      </w:rPr>
      <w:t xml:space="preserve">. </w:t>
    </w:r>
    <w:r>
      <w:rPr>
        <w:rFonts w:eastAsia="Arial" w:cs="Arial"/>
        <w:i/>
        <w:sz w:val="18"/>
        <w:szCs w:val="18"/>
      </w:rPr>
      <w:t>2025</w:t>
    </w:r>
    <w:r w:rsidR="00045DE4">
      <w:rPr>
        <w:rFonts w:eastAsia="Arial" w:cs="Arial"/>
        <w:i/>
        <w:sz w:val="18"/>
        <w:szCs w:val="18"/>
      </w:rPr>
      <w:t xml:space="preserve">. </w:t>
    </w:r>
    <w:r w:rsidR="00F21653" w:rsidRPr="00F21653">
      <w:rPr>
        <w:rFonts w:eastAsia="Arial" w:cs="Arial"/>
        <w:i/>
        <w:sz w:val="18"/>
        <w:szCs w:val="18"/>
      </w:rPr>
      <w:t>Book review of Whitworth, A. 2020. Mapping information landscapes: New methods for exploring the development and teaching of information literacy.</w:t>
    </w:r>
    <w:r w:rsidR="00F21653">
      <w:rPr>
        <w:rFonts w:eastAsia="Arial" w:cs="Arial"/>
        <w:i/>
        <w:sz w:val="18"/>
        <w:szCs w:val="18"/>
      </w:rPr>
      <w:t xml:space="preserve"> </w:t>
    </w:r>
    <w:r w:rsidR="00045DE4">
      <w:rPr>
        <w:rFonts w:eastAsia="Arial" w:cs="Arial"/>
        <w:i/>
        <w:sz w:val="18"/>
        <w:szCs w:val="18"/>
      </w:rPr>
      <w:t xml:space="preserve">Journal of Information Literacy, </w:t>
    </w:r>
    <w:r>
      <w:rPr>
        <w:rFonts w:eastAsia="Arial" w:cs="Arial"/>
        <w:i/>
        <w:sz w:val="18"/>
        <w:szCs w:val="18"/>
      </w:rPr>
      <w:t>19</w:t>
    </w:r>
    <w:r w:rsidR="00045DE4">
      <w:rPr>
        <w:rFonts w:eastAsia="Arial" w:cs="Arial"/>
        <w:i/>
        <w:sz w:val="18"/>
        <w:szCs w:val="18"/>
      </w:rPr>
      <w:t>(</w:t>
    </w:r>
    <w:r>
      <w:rPr>
        <w:rFonts w:eastAsia="Arial" w:cs="Arial"/>
        <w:i/>
        <w:sz w:val="18"/>
        <w:szCs w:val="18"/>
      </w:rPr>
      <w:t>2</w:t>
    </w:r>
    <w:r w:rsidR="00045DE4">
      <w:rPr>
        <w:rFonts w:eastAsia="Arial" w:cs="Arial"/>
        <w:i/>
        <w:sz w:val="18"/>
        <w:szCs w:val="18"/>
      </w:rPr>
      <w:t xml:space="preserve">), pp. </w:t>
    </w:r>
    <w:r w:rsidR="004D2223" w:rsidRPr="004D2223">
      <w:rPr>
        <w:rFonts w:eastAsia="Arial" w:cs="Arial"/>
        <w:i/>
        <w:color w:val="000000" w:themeColor="text1"/>
        <w:sz w:val="18"/>
        <w:szCs w:val="18"/>
      </w:rPr>
      <w:t>153</w:t>
    </w:r>
    <w:r w:rsidR="00045DE4" w:rsidRPr="004D2223">
      <w:rPr>
        <w:rFonts w:eastAsia="Arial" w:cs="Arial"/>
        <w:i/>
        <w:color w:val="000000" w:themeColor="text1"/>
        <w:sz w:val="18"/>
        <w:szCs w:val="18"/>
      </w:rPr>
      <w:t>–</w:t>
    </w:r>
    <w:r w:rsidR="004D2223" w:rsidRPr="004D2223">
      <w:rPr>
        <w:rFonts w:eastAsia="Arial" w:cs="Arial"/>
        <w:i/>
        <w:color w:val="000000" w:themeColor="text1"/>
        <w:sz w:val="18"/>
        <w:szCs w:val="18"/>
      </w:rPr>
      <w:t>155.</w:t>
    </w:r>
  </w:p>
  <w:p w14:paraId="7BED1C0E" w14:textId="4AD48F65" w:rsidR="00652C52" w:rsidRDefault="00045DE4">
    <w:pPr>
      <w:rPr>
        <w:rFonts w:eastAsia="Arial" w:cs="Arial"/>
        <w:i/>
        <w:sz w:val="18"/>
        <w:szCs w:val="18"/>
      </w:rPr>
    </w:pPr>
    <w:r>
      <w:rPr>
        <w:rFonts w:eastAsia="Arial" w:cs="Arial"/>
        <w:i/>
        <w:sz w:val="18"/>
        <w:szCs w:val="18"/>
      </w:rPr>
      <w:t>http://dx.doi.org/10.11645/</w:t>
    </w:r>
    <w:r w:rsidR="008E195D">
      <w:rPr>
        <w:rFonts w:eastAsia="Arial" w:cs="Arial"/>
        <w:i/>
        <w:sz w:val="18"/>
        <w:szCs w:val="18"/>
      </w:rPr>
      <w:t>19</w:t>
    </w:r>
    <w:r>
      <w:rPr>
        <w:rFonts w:eastAsia="Arial" w:cs="Arial"/>
        <w:i/>
        <w:sz w:val="18"/>
        <w:szCs w:val="18"/>
      </w:rPr>
      <w:t>.</w:t>
    </w:r>
    <w:r w:rsidR="008E195D">
      <w:rPr>
        <w:rFonts w:eastAsia="Arial" w:cs="Arial"/>
        <w:i/>
        <w:sz w:val="18"/>
        <w:szCs w:val="18"/>
      </w:rPr>
      <w:t>2</w:t>
    </w:r>
    <w:r>
      <w:rPr>
        <w:rFonts w:eastAsia="Arial" w:cs="Arial"/>
        <w:i/>
        <w:sz w:val="18"/>
        <w:szCs w:val="18"/>
      </w:rPr>
      <w:t>.</w:t>
    </w:r>
    <w:r w:rsidR="008E195D">
      <w:rPr>
        <w:rFonts w:eastAsia="Arial" w:cs="Arial"/>
        <w:i/>
        <w:sz w:val="18"/>
        <w:szCs w:val="18"/>
      </w:rPr>
      <w:t>806</w:t>
    </w:r>
  </w:p>
  <w:p w14:paraId="525A3FD1" w14:textId="77777777" w:rsidR="00652C52" w:rsidRDefault="00652C5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A2C8B" w14:textId="77777777" w:rsidR="00B37C22" w:rsidRDefault="00B37C22">
      <w:r>
        <w:separator/>
      </w:r>
    </w:p>
  </w:footnote>
  <w:footnote w:type="continuationSeparator" w:id="0">
    <w:p w14:paraId="131BADDD" w14:textId="77777777" w:rsidR="00B37C22" w:rsidRDefault="00B37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147C" w14:textId="77777777" w:rsidR="00652C52" w:rsidRDefault="00652C52">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AAB9" w14:textId="603AF546" w:rsidR="00652C52" w:rsidRDefault="008E195D">
    <w:pPr>
      <w:pBdr>
        <w:top w:val="nil"/>
        <w:left w:val="nil"/>
        <w:bottom w:val="nil"/>
        <w:right w:val="nil"/>
        <w:between w:val="nil"/>
      </w:pBdr>
      <w:tabs>
        <w:tab w:val="center" w:pos="4680"/>
        <w:tab w:val="right" w:pos="9360"/>
      </w:tabs>
      <w:jc w:val="right"/>
    </w:pPr>
    <w:r>
      <w:rPr>
        <w:rFonts w:eastAsia="Arial" w:cs="Arial"/>
        <w:color w:val="000000"/>
        <w:sz w:val="18"/>
        <w:szCs w:val="18"/>
      </w:rPr>
      <w:t>Bond</w:t>
    </w:r>
    <w:r w:rsidR="00045DE4">
      <w:rPr>
        <w:rFonts w:eastAsia="Arial" w:cs="Arial"/>
        <w:color w:val="000000"/>
        <w:sz w:val="18"/>
        <w:szCs w:val="18"/>
      </w:rPr>
      <w:t xml:space="preserve"> </w:t>
    </w:r>
    <w:r w:rsidR="00045DE4">
      <w:rPr>
        <w:color w:val="000000"/>
        <w:sz w:val="18"/>
        <w:szCs w:val="18"/>
      </w:rPr>
      <w:fldChar w:fldCharType="begin"/>
    </w:r>
    <w:r w:rsidR="00045DE4">
      <w:rPr>
        <w:color w:val="000000"/>
        <w:sz w:val="18"/>
        <w:szCs w:val="18"/>
      </w:rPr>
      <w:instrText>PAGE</w:instrText>
    </w:r>
    <w:r w:rsidR="00045DE4">
      <w:rPr>
        <w:color w:val="000000"/>
        <w:sz w:val="18"/>
        <w:szCs w:val="18"/>
      </w:rPr>
      <w:fldChar w:fldCharType="separate"/>
    </w:r>
    <w:r w:rsidR="00855E4D">
      <w:rPr>
        <w:noProof/>
        <w:color w:val="000000"/>
        <w:sz w:val="18"/>
        <w:szCs w:val="18"/>
      </w:rPr>
      <w:t>2</w:t>
    </w:r>
    <w:r w:rsidR="00045DE4">
      <w:rPr>
        <w:color w:val="000000"/>
        <w:sz w:val="18"/>
        <w:szCs w:val="18"/>
      </w:rPr>
      <w:fldChar w:fldCharType="end"/>
    </w:r>
    <w:r>
      <w:rPr>
        <w:color w:val="000000"/>
        <w:sz w:val="18"/>
        <w:szCs w:val="18"/>
      </w:rPr>
      <w:br/>
    </w:r>
    <w:r>
      <w:rPr>
        <w:color w:val="000000"/>
        <w:sz w:val="18"/>
        <w:szCs w:val="18"/>
      </w:rPr>
      <w:br/>
    </w:r>
    <w:r>
      <w:rPr>
        <w:color w:val="000000"/>
        <w:sz w:val="18"/>
        <w:szCs w:val="18"/>
      </w:rPr>
      <w:br/>
    </w:r>
    <w:r>
      <w:rPr>
        <w:color w:val="000000"/>
        <w:sz w:val="18"/>
        <w:szCs w:val="18"/>
      </w:rPr>
      <w:br/>
    </w:r>
    <w:r>
      <w:rPr>
        <w:color w:val="000000"/>
        <w:sz w:val="18"/>
        <w:szCs w:val="18"/>
      </w:rPr>
      <w:br/>
    </w:r>
    <w:r>
      <w:rPr>
        <w:color w:val="000000"/>
        <w:sz w:val="18"/>
        <w:szCs w:val="18"/>
      </w:rPr>
      <w:br/>
    </w:r>
    <w:r w:rsidR="00045DE4">
      <w:rPr>
        <w:noProof/>
      </w:rPr>
      <w:drawing>
        <wp:anchor distT="0" distB="0" distL="114300" distR="114300" simplePos="0" relativeHeight="251658240" behindDoc="0" locked="0" layoutInCell="1" allowOverlap="1" wp14:anchorId="77DA5B2C" wp14:editId="0EE89C53">
          <wp:simplePos x="0" y="0"/>
          <wp:positionH relativeFrom="column">
            <wp:posOffset>-463549</wp:posOffset>
          </wp:positionH>
          <wp:positionV relativeFrom="paragraph">
            <wp:posOffset>-298449</wp:posOffset>
          </wp:positionV>
          <wp:extent cx="1181100" cy="1181100"/>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
                  <a:stretch>
                    <a:fillRect/>
                  </a:stretch>
                </pic:blipFill>
                <pic:spPr>
                  <a:xfrm>
                    <a:off x="0" y="0"/>
                    <a:ext cx="1181100" cy="11811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87C3" w14:textId="77777777" w:rsidR="00652C52" w:rsidRDefault="00045DE4">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allowOverlap="1" wp14:anchorId="0CC1E104" wp14:editId="04E20729">
          <wp:simplePos x="0" y="0"/>
          <wp:positionH relativeFrom="column">
            <wp:posOffset>-444499</wp:posOffset>
          </wp:positionH>
          <wp:positionV relativeFrom="paragraph">
            <wp:posOffset>-247649</wp:posOffset>
          </wp:positionV>
          <wp:extent cx="1181100" cy="1181100"/>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stretch>
                    <a:fillRect/>
                  </a:stretch>
                </pic:blipFill>
                <pic:spPr>
                  <a:xfrm>
                    <a:off x="0" y="0"/>
                    <a:ext cx="1181100" cy="1181100"/>
                  </a:xfrm>
                  <a:prstGeom prst="rect">
                    <a:avLst/>
                  </a:prstGeom>
                </pic:spPr>
              </pic:pic>
            </a:graphicData>
          </a:graphic>
        </wp:anchor>
      </w:drawing>
    </w:r>
  </w:p>
  <w:p w14:paraId="655C35BB" w14:textId="5D141CFD" w:rsidR="00652C52" w:rsidRDefault="00045DE4">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 xml:space="preserve">Volume </w:t>
    </w:r>
    <w:r w:rsidR="008E195D">
      <w:rPr>
        <w:rFonts w:eastAsia="Arial" w:cs="Arial"/>
        <w:color w:val="000000"/>
      </w:rPr>
      <w:t>19</w:t>
    </w:r>
    <w:r>
      <w:rPr>
        <w:rFonts w:eastAsia="Arial" w:cs="Arial"/>
        <w:color w:val="000000"/>
      </w:rPr>
      <w:t xml:space="preserve"> Issue </w:t>
    </w:r>
    <w:r w:rsidR="008E195D">
      <w:rPr>
        <w:rFonts w:eastAsia="Arial" w:cs="Arial"/>
        <w:color w:val="000000"/>
      </w:rPr>
      <w:t>2</w:t>
    </w:r>
  </w:p>
  <w:p w14:paraId="1D86245F" w14:textId="17E49B3C" w:rsidR="00652C52" w:rsidRDefault="00045DE4">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r w:rsidR="008E195D">
      <w:rPr>
        <w:rFonts w:eastAsia="Arial" w:cs="Arial"/>
        <w:color w:val="000000"/>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52C52"/>
    <w:rsid w:val="000367AC"/>
    <w:rsid w:val="00045DE4"/>
    <w:rsid w:val="000F57D0"/>
    <w:rsid w:val="00105682"/>
    <w:rsid w:val="001A4130"/>
    <w:rsid w:val="001C0585"/>
    <w:rsid w:val="00205EC8"/>
    <w:rsid w:val="002A4B1B"/>
    <w:rsid w:val="003108BB"/>
    <w:rsid w:val="003D431C"/>
    <w:rsid w:val="00450ABF"/>
    <w:rsid w:val="00452C75"/>
    <w:rsid w:val="00491D1C"/>
    <w:rsid w:val="004D2223"/>
    <w:rsid w:val="004F208A"/>
    <w:rsid w:val="004F2CA4"/>
    <w:rsid w:val="00574918"/>
    <w:rsid w:val="0058146C"/>
    <w:rsid w:val="005D10C8"/>
    <w:rsid w:val="005F7508"/>
    <w:rsid w:val="00652C52"/>
    <w:rsid w:val="00663C23"/>
    <w:rsid w:val="006F349E"/>
    <w:rsid w:val="00723E52"/>
    <w:rsid w:val="00787490"/>
    <w:rsid w:val="00847974"/>
    <w:rsid w:val="00855E4D"/>
    <w:rsid w:val="008D3519"/>
    <w:rsid w:val="008E195D"/>
    <w:rsid w:val="008E6CD1"/>
    <w:rsid w:val="0095454F"/>
    <w:rsid w:val="00962518"/>
    <w:rsid w:val="00976CC4"/>
    <w:rsid w:val="00983D47"/>
    <w:rsid w:val="00984F29"/>
    <w:rsid w:val="00987EB0"/>
    <w:rsid w:val="009B3D4F"/>
    <w:rsid w:val="009E338E"/>
    <w:rsid w:val="00A31AB4"/>
    <w:rsid w:val="00A82B5E"/>
    <w:rsid w:val="00A82EF1"/>
    <w:rsid w:val="00B24CE8"/>
    <w:rsid w:val="00B37C22"/>
    <w:rsid w:val="00B67422"/>
    <w:rsid w:val="00B836FC"/>
    <w:rsid w:val="00BA6168"/>
    <w:rsid w:val="00BC5809"/>
    <w:rsid w:val="00C3298D"/>
    <w:rsid w:val="00C47289"/>
    <w:rsid w:val="00C8614C"/>
    <w:rsid w:val="00D16BBB"/>
    <w:rsid w:val="00D5633B"/>
    <w:rsid w:val="00D6629B"/>
    <w:rsid w:val="00DB5DF1"/>
    <w:rsid w:val="00DE270A"/>
    <w:rsid w:val="00DF5853"/>
    <w:rsid w:val="00E05B63"/>
    <w:rsid w:val="00E247CD"/>
    <w:rsid w:val="00E32D7C"/>
    <w:rsid w:val="00E5103B"/>
    <w:rsid w:val="00E65188"/>
    <w:rsid w:val="00EC09ED"/>
    <w:rsid w:val="00F21653"/>
    <w:rsid w:val="00F44899"/>
    <w:rsid w:val="00FB3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C0CA"/>
  <w15:docId w15:val="{5CAFABC8-799A-48C2-9A60-5268BBBA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682"/>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EndNoteBibliographyTitle">
    <w:name w:val="EndNote Bibliography Title"/>
    <w:basedOn w:val="Normal"/>
    <w:link w:val="EndNoteBibliographyTitleChar"/>
    <w:rsid w:val="00BA6168"/>
    <w:pPr>
      <w:jc w:val="center"/>
    </w:pPr>
    <w:rPr>
      <w:rFonts w:ascii="Calibri" w:hAnsi="Calibri"/>
    </w:rPr>
  </w:style>
  <w:style w:type="character" w:customStyle="1" w:styleId="EndNoteBibliographyTitleChar">
    <w:name w:val="EndNote Bibliography Title Char"/>
    <w:basedOn w:val="DefaultParagraphFont"/>
    <w:link w:val="EndNoteBibliographyTitle"/>
    <w:rsid w:val="00BA6168"/>
  </w:style>
  <w:style w:type="paragraph" w:customStyle="1" w:styleId="EndNoteBibliography">
    <w:name w:val="EndNote Bibliography"/>
    <w:basedOn w:val="Normal"/>
    <w:link w:val="EndNoteBibliographyChar"/>
    <w:rsid w:val="00BA6168"/>
    <w:rPr>
      <w:rFonts w:ascii="Calibri" w:hAnsi="Calibri"/>
    </w:rPr>
  </w:style>
  <w:style w:type="character" w:customStyle="1" w:styleId="EndNoteBibliographyChar">
    <w:name w:val="EndNote Bibliography Char"/>
    <w:basedOn w:val="DefaultParagraphFont"/>
    <w:link w:val="EndNoteBibliography"/>
    <w:rsid w:val="00BA6168"/>
  </w:style>
  <w:style w:type="character" w:styleId="Hyperlink">
    <w:name w:val="Hyperlink"/>
    <w:basedOn w:val="DefaultParagraphFont"/>
    <w:uiPriority w:val="99"/>
    <w:unhideWhenUsed/>
    <w:rsid w:val="00574918"/>
    <w:rPr>
      <w:color w:val="0000FF" w:themeColor="hyperlink"/>
      <w:u w:val="single"/>
    </w:rPr>
  </w:style>
  <w:style w:type="character" w:styleId="UnresolvedMention">
    <w:name w:val="Unresolved Mention"/>
    <w:basedOn w:val="DefaultParagraphFont"/>
    <w:uiPriority w:val="99"/>
    <w:semiHidden/>
    <w:unhideWhenUsed/>
    <w:rsid w:val="00574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helen.bond@bodleian.ox.ac.uk"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dx.doi.org/10.11645/19.2.8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Delaney, Geraldine</dc:creator>
  <cp:keywords/>
  <dc:description/>
  <cp:lastModifiedBy>Edwards, Amber</cp:lastModifiedBy>
  <cp:revision>5</cp:revision>
  <dcterms:created xsi:type="dcterms:W3CDTF">2025-09-29T15:06:00Z</dcterms:created>
  <dcterms:modified xsi:type="dcterms:W3CDTF">2025-11-28T11:55:00Z</dcterms:modified>
</cp:coreProperties>
</file>