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09CED" w14:textId="77777777" w:rsidR="00A341B4" w:rsidRDefault="00A341B4">
      <w:pPr>
        <w:rPr>
          <w:rFonts w:eastAsia="Arial" w:cs="Arial"/>
        </w:rPr>
      </w:pPr>
    </w:p>
    <w:p w14:paraId="59E107EA" w14:textId="77777777" w:rsidR="00A341B4" w:rsidRDefault="00A341B4">
      <w:pPr>
        <w:jc w:val="both"/>
        <w:rPr>
          <w:rFonts w:eastAsia="Arial" w:cs="Arial"/>
          <w:b/>
          <w:color w:val="000000"/>
          <w:sz w:val="28"/>
          <w:szCs w:val="28"/>
        </w:rPr>
      </w:pPr>
    </w:p>
    <w:p w14:paraId="018790A2" w14:textId="77777777" w:rsidR="009F7728" w:rsidRDefault="009F7728" w:rsidP="22646DF8">
      <w:pPr>
        <w:jc w:val="both"/>
        <w:rPr>
          <w:rFonts w:eastAsia="Arial" w:cs="Arial"/>
          <w:b/>
          <w:bCs/>
          <w:color w:val="000000" w:themeColor="text1"/>
          <w:sz w:val="28"/>
          <w:szCs w:val="28"/>
        </w:rPr>
      </w:pPr>
    </w:p>
    <w:p w14:paraId="28F9715A" w14:textId="1D347C0C" w:rsidR="00A341B4" w:rsidRDefault="007931DC" w:rsidP="22646DF8">
      <w:pPr>
        <w:jc w:val="both"/>
        <w:rPr>
          <w:rFonts w:eastAsia="Arial" w:cs="Arial"/>
          <w:b/>
          <w:bCs/>
          <w:color w:val="000000"/>
          <w:sz w:val="28"/>
          <w:szCs w:val="28"/>
        </w:rPr>
      </w:pPr>
      <w:r w:rsidRPr="5CE5EDF8">
        <w:rPr>
          <w:rFonts w:eastAsia="Arial" w:cs="Arial"/>
          <w:b/>
          <w:bCs/>
          <w:color w:val="000000" w:themeColor="text1"/>
          <w:sz w:val="28"/>
          <w:szCs w:val="28"/>
        </w:rPr>
        <w:t xml:space="preserve">Book </w:t>
      </w:r>
      <w:r w:rsidR="076F7DB0" w:rsidRPr="5CE5EDF8">
        <w:rPr>
          <w:rFonts w:eastAsia="Arial" w:cs="Arial"/>
          <w:b/>
          <w:bCs/>
          <w:color w:val="000000" w:themeColor="text1"/>
          <w:sz w:val="28"/>
          <w:szCs w:val="28"/>
        </w:rPr>
        <w:t>r</w:t>
      </w:r>
      <w:r w:rsidRPr="5CE5EDF8">
        <w:rPr>
          <w:rFonts w:eastAsia="Arial" w:cs="Arial"/>
          <w:b/>
          <w:bCs/>
          <w:color w:val="000000" w:themeColor="text1"/>
          <w:sz w:val="28"/>
          <w:szCs w:val="28"/>
        </w:rPr>
        <w:t>eview</w:t>
      </w:r>
    </w:p>
    <w:p w14:paraId="047E5F44" w14:textId="77777777" w:rsidR="00A341B4" w:rsidRDefault="00A341B4" w:rsidP="009F7728"/>
    <w:p w14:paraId="7F1977CF" w14:textId="4B4419ED" w:rsidR="00A341B4" w:rsidRDefault="780E0057" w:rsidP="009F7728">
      <w:pPr>
        <w:keepNext/>
        <w:spacing w:before="120" w:after="80"/>
        <w:rPr>
          <w:rFonts w:eastAsia="Arial" w:cs="Arial"/>
          <w:b/>
          <w:bCs/>
          <w:sz w:val="24"/>
          <w:szCs w:val="24"/>
        </w:rPr>
      </w:pPr>
      <w:r w:rsidRPr="22646DF8">
        <w:rPr>
          <w:rFonts w:eastAsia="Arial" w:cs="Arial"/>
          <w:b/>
          <w:bCs/>
          <w:sz w:val="24"/>
          <w:szCs w:val="24"/>
        </w:rPr>
        <w:t>Abdulkader</w:t>
      </w:r>
      <w:r w:rsidR="2BBE0BA0" w:rsidRPr="22646DF8">
        <w:rPr>
          <w:rFonts w:eastAsia="Arial" w:cs="Arial"/>
          <w:b/>
          <w:bCs/>
          <w:sz w:val="24"/>
          <w:szCs w:val="24"/>
        </w:rPr>
        <w:t>, A</w:t>
      </w:r>
      <w:r w:rsidR="007931DC" w:rsidRPr="22646DF8">
        <w:rPr>
          <w:rFonts w:eastAsia="Arial" w:cs="Arial"/>
          <w:b/>
          <w:bCs/>
          <w:sz w:val="24"/>
          <w:szCs w:val="24"/>
        </w:rPr>
        <w:t xml:space="preserve">. </w:t>
      </w:r>
      <w:r w:rsidR="23EED99A" w:rsidRPr="22646DF8">
        <w:rPr>
          <w:rFonts w:eastAsia="Arial" w:cs="Arial"/>
          <w:b/>
          <w:bCs/>
          <w:sz w:val="24"/>
          <w:szCs w:val="24"/>
        </w:rPr>
        <w:t>202</w:t>
      </w:r>
      <w:r w:rsidR="13E74BAE" w:rsidRPr="22646DF8">
        <w:rPr>
          <w:rFonts w:eastAsia="Arial" w:cs="Arial"/>
          <w:b/>
          <w:bCs/>
          <w:sz w:val="24"/>
          <w:szCs w:val="24"/>
        </w:rPr>
        <w:t>5</w:t>
      </w:r>
      <w:r w:rsidR="007931DC" w:rsidRPr="22646DF8">
        <w:rPr>
          <w:rFonts w:eastAsia="Arial" w:cs="Arial"/>
          <w:b/>
          <w:bCs/>
          <w:sz w:val="24"/>
          <w:szCs w:val="24"/>
        </w:rPr>
        <w:t xml:space="preserve">. </w:t>
      </w:r>
      <w:r w:rsidR="7AA0DBF8" w:rsidRPr="22646DF8">
        <w:rPr>
          <w:rFonts w:eastAsia="Arial" w:cs="Arial"/>
          <w:b/>
          <w:bCs/>
          <w:color w:val="000000" w:themeColor="text1"/>
          <w:sz w:val="24"/>
          <w:szCs w:val="24"/>
          <w:lang w:val="en-US"/>
        </w:rPr>
        <w:t xml:space="preserve">Book </w:t>
      </w:r>
      <w:r w:rsidR="149DFC68" w:rsidRPr="22646DF8">
        <w:rPr>
          <w:rFonts w:eastAsia="Arial" w:cs="Arial"/>
          <w:b/>
          <w:bCs/>
          <w:color w:val="000000" w:themeColor="text1"/>
          <w:sz w:val="24"/>
          <w:szCs w:val="24"/>
          <w:lang w:val="en-US"/>
        </w:rPr>
        <w:t>r</w:t>
      </w:r>
      <w:r w:rsidR="7AA0DBF8" w:rsidRPr="22646DF8">
        <w:rPr>
          <w:rFonts w:eastAsia="Arial" w:cs="Arial"/>
          <w:b/>
          <w:bCs/>
          <w:color w:val="000000" w:themeColor="text1"/>
          <w:sz w:val="24"/>
          <w:szCs w:val="24"/>
          <w:lang w:val="en-US"/>
        </w:rPr>
        <w:t>eview of Julien,</w:t>
      </w:r>
      <w:r w:rsidR="29F9C969" w:rsidRPr="22646DF8">
        <w:rPr>
          <w:rFonts w:eastAsia="Arial" w:cs="Arial"/>
          <w:b/>
          <w:bCs/>
          <w:color w:val="000000" w:themeColor="text1"/>
          <w:sz w:val="24"/>
          <w:szCs w:val="24"/>
          <w:lang w:val="en-US"/>
        </w:rPr>
        <w:t xml:space="preserve"> H.,</w:t>
      </w:r>
      <w:r w:rsidR="7AA0DBF8" w:rsidRPr="22646DF8">
        <w:rPr>
          <w:rFonts w:eastAsia="Arial" w:cs="Arial"/>
          <w:b/>
          <w:bCs/>
          <w:color w:val="000000" w:themeColor="text1"/>
          <w:sz w:val="24"/>
          <w:szCs w:val="24"/>
          <w:lang w:val="en-US"/>
        </w:rPr>
        <w:t xml:space="preserve"> Gross,</w:t>
      </w:r>
      <w:r w:rsidR="22287BA7" w:rsidRPr="22646DF8">
        <w:rPr>
          <w:rFonts w:eastAsia="Arial" w:cs="Arial"/>
          <w:b/>
          <w:bCs/>
          <w:color w:val="000000" w:themeColor="text1"/>
          <w:sz w:val="24"/>
          <w:szCs w:val="24"/>
          <w:lang w:val="en-US"/>
        </w:rPr>
        <w:t xml:space="preserve"> M.,</w:t>
      </w:r>
      <w:r w:rsidR="7AA0DBF8" w:rsidRPr="22646DF8">
        <w:rPr>
          <w:rFonts w:eastAsia="Arial" w:cs="Arial"/>
          <w:b/>
          <w:bCs/>
          <w:color w:val="000000" w:themeColor="text1"/>
          <w:sz w:val="24"/>
          <w:szCs w:val="24"/>
          <w:lang w:val="en-US"/>
        </w:rPr>
        <w:t xml:space="preserve"> </w:t>
      </w:r>
      <w:r w:rsidR="00BF4407">
        <w:rPr>
          <w:rFonts w:eastAsia="Arial" w:cs="Arial"/>
          <w:b/>
          <w:bCs/>
          <w:color w:val="000000" w:themeColor="text1"/>
          <w:sz w:val="24"/>
          <w:szCs w:val="24"/>
          <w:lang w:val="en-US"/>
        </w:rPr>
        <w:t xml:space="preserve">and </w:t>
      </w:r>
      <w:r w:rsidR="7AA0DBF8" w:rsidRPr="22646DF8">
        <w:rPr>
          <w:rFonts w:eastAsia="Arial" w:cs="Arial"/>
          <w:b/>
          <w:bCs/>
          <w:color w:val="000000" w:themeColor="text1"/>
          <w:sz w:val="24"/>
          <w:szCs w:val="24"/>
          <w:lang w:val="en-US"/>
        </w:rPr>
        <w:t>Latham</w:t>
      </w:r>
      <w:r w:rsidR="266F9C60" w:rsidRPr="22646DF8">
        <w:rPr>
          <w:rFonts w:eastAsia="Arial" w:cs="Arial"/>
          <w:b/>
          <w:bCs/>
          <w:color w:val="000000" w:themeColor="text1"/>
          <w:sz w:val="24"/>
          <w:szCs w:val="24"/>
          <w:lang w:val="en-US"/>
        </w:rPr>
        <w:t>, D</w:t>
      </w:r>
      <w:r w:rsidR="7AA0DBF8" w:rsidRPr="22646DF8">
        <w:rPr>
          <w:rFonts w:eastAsia="Arial" w:cs="Arial"/>
          <w:b/>
          <w:bCs/>
          <w:color w:val="000000" w:themeColor="text1"/>
          <w:sz w:val="24"/>
          <w:szCs w:val="24"/>
          <w:lang w:val="en-US"/>
        </w:rPr>
        <w:t>.</w:t>
      </w:r>
      <w:r w:rsidR="6C82EA1F" w:rsidRPr="22646DF8">
        <w:rPr>
          <w:rFonts w:eastAsia="Arial" w:cs="Arial"/>
          <w:b/>
          <w:bCs/>
          <w:color w:val="000000" w:themeColor="text1"/>
          <w:sz w:val="24"/>
          <w:szCs w:val="24"/>
          <w:lang w:val="en-US"/>
        </w:rPr>
        <w:t xml:space="preserve"> (</w:t>
      </w:r>
      <w:r w:rsidR="00CE1ADD">
        <w:rPr>
          <w:rFonts w:eastAsia="Arial" w:cs="Arial"/>
          <w:b/>
          <w:bCs/>
          <w:color w:val="000000" w:themeColor="text1"/>
          <w:sz w:val="24"/>
          <w:szCs w:val="24"/>
          <w:lang w:val="en-US"/>
        </w:rPr>
        <w:t>E</w:t>
      </w:r>
      <w:r w:rsidR="6C82EA1F" w:rsidRPr="22646DF8">
        <w:rPr>
          <w:rFonts w:eastAsia="Arial" w:cs="Arial"/>
          <w:b/>
          <w:bCs/>
          <w:color w:val="000000" w:themeColor="text1"/>
          <w:sz w:val="24"/>
          <w:szCs w:val="24"/>
          <w:lang w:val="en-US"/>
        </w:rPr>
        <w:t>ds</w:t>
      </w:r>
      <w:r w:rsidR="00CE1ADD">
        <w:rPr>
          <w:rFonts w:eastAsia="Arial" w:cs="Arial"/>
          <w:b/>
          <w:bCs/>
          <w:color w:val="000000" w:themeColor="text1"/>
          <w:sz w:val="24"/>
          <w:szCs w:val="24"/>
          <w:lang w:val="en-US"/>
        </w:rPr>
        <w:t>.</w:t>
      </w:r>
      <w:r w:rsidR="6C82EA1F" w:rsidRPr="22646DF8">
        <w:rPr>
          <w:rFonts w:eastAsia="Arial" w:cs="Arial"/>
          <w:b/>
          <w:bCs/>
          <w:color w:val="000000" w:themeColor="text1"/>
          <w:sz w:val="24"/>
          <w:szCs w:val="24"/>
          <w:lang w:val="en-US"/>
        </w:rPr>
        <w:t>)</w:t>
      </w:r>
      <w:r w:rsidR="00CE1ADD">
        <w:rPr>
          <w:rFonts w:eastAsia="Arial" w:cs="Arial"/>
          <w:b/>
          <w:bCs/>
          <w:color w:val="000000" w:themeColor="text1"/>
          <w:sz w:val="24"/>
          <w:szCs w:val="24"/>
          <w:lang w:val="en-US"/>
        </w:rPr>
        <w:t>.</w:t>
      </w:r>
      <w:r w:rsidR="7AA0DBF8" w:rsidRPr="22646DF8">
        <w:rPr>
          <w:rFonts w:eastAsia="Arial" w:cs="Arial"/>
          <w:b/>
          <w:bCs/>
          <w:color w:val="000000" w:themeColor="text1"/>
          <w:sz w:val="24"/>
          <w:szCs w:val="24"/>
          <w:lang w:val="en-US"/>
        </w:rPr>
        <w:t xml:space="preserve"> 2020. </w:t>
      </w:r>
      <w:r w:rsidR="7AA0DBF8" w:rsidRPr="22646DF8">
        <w:rPr>
          <w:rFonts w:eastAsia="Arial" w:cs="Arial"/>
          <w:b/>
          <w:bCs/>
          <w:i/>
          <w:iCs/>
          <w:color w:val="000000" w:themeColor="text1"/>
          <w:sz w:val="24"/>
          <w:szCs w:val="24"/>
          <w:lang w:val="en-US"/>
        </w:rPr>
        <w:t xml:space="preserve">The </w:t>
      </w:r>
      <w:r w:rsidR="009F7728">
        <w:rPr>
          <w:rFonts w:eastAsia="Arial" w:cs="Arial"/>
          <w:b/>
          <w:bCs/>
          <w:i/>
          <w:iCs/>
          <w:color w:val="000000" w:themeColor="text1"/>
          <w:sz w:val="24"/>
          <w:szCs w:val="24"/>
          <w:lang w:val="en-US"/>
        </w:rPr>
        <w:t>i</w:t>
      </w:r>
      <w:r w:rsidR="7AA0DBF8" w:rsidRPr="22646DF8">
        <w:rPr>
          <w:rFonts w:eastAsia="Arial" w:cs="Arial"/>
          <w:b/>
          <w:bCs/>
          <w:i/>
          <w:iCs/>
          <w:color w:val="000000" w:themeColor="text1"/>
          <w:sz w:val="24"/>
          <w:szCs w:val="24"/>
          <w:lang w:val="en-US"/>
        </w:rPr>
        <w:t xml:space="preserve">nformation </w:t>
      </w:r>
      <w:r w:rsidR="009F7728">
        <w:rPr>
          <w:rFonts w:eastAsia="Arial" w:cs="Arial"/>
          <w:b/>
          <w:bCs/>
          <w:i/>
          <w:iCs/>
          <w:color w:val="000000" w:themeColor="text1"/>
          <w:sz w:val="24"/>
          <w:szCs w:val="24"/>
          <w:lang w:val="en-US"/>
        </w:rPr>
        <w:t>l</w:t>
      </w:r>
      <w:r w:rsidR="7AA0DBF8" w:rsidRPr="22646DF8">
        <w:rPr>
          <w:rFonts w:eastAsia="Arial" w:cs="Arial"/>
          <w:b/>
          <w:bCs/>
          <w:i/>
          <w:iCs/>
          <w:color w:val="000000" w:themeColor="text1"/>
          <w:sz w:val="24"/>
          <w:szCs w:val="24"/>
          <w:lang w:val="en-US"/>
        </w:rPr>
        <w:t xml:space="preserve">iteracy </w:t>
      </w:r>
      <w:r w:rsidR="009F7728">
        <w:rPr>
          <w:rFonts w:eastAsia="Arial" w:cs="Arial"/>
          <w:b/>
          <w:bCs/>
          <w:i/>
          <w:iCs/>
          <w:color w:val="000000" w:themeColor="text1"/>
          <w:sz w:val="24"/>
          <w:szCs w:val="24"/>
          <w:lang w:val="en-US"/>
        </w:rPr>
        <w:t>f</w:t>
      </w:r>
      <w:r w:rsidR="7AA0DBF8" w:rsidRPr="22646DF8">
        <w:rPr>
          <w:rFonts w:eastAsia="Arial" w:cs="Arial"/>
          <w:b/>
          <w:bCs/>
          <w:i/>
          <w:iCs/>
          <w:color w:val="000000" w:themeColor="text1"/>
          <w:sz w:val="24"/>
          <w:szCs w:val="24"/>
          <w:lang w:val="en-US"/>
        </w:rPr>
        <w:t xml:space="preserve">ramework: Case </w:t>
      </w:r>
      <w:r w:rsidR="009F7728">
        <w:rPr>
          <w:rFonts w:eastAsia="Arial" w:cs="Arial"/>
          <w:b/>
          <w:bCs/>
          <w:i/>
          <w:iCs/>
          <w:color w:val="000000" w:themeColor="text1"/>
          <w:sz w:val="24"/>
          <w:szCs w:val="24"/>
          <w:lang w:val="en-US"/>
        </w:rPr>
        <w:t>s</w:t>
      </w:r>
      <w:r w:rsidR="7AA0DBF8" w:rsidRPr="22646DF8">
        <w:rPr>
          <w:rFonts w:eastAsia="Arial" w:cs="Arial"/>
          <w:b/>
          <w:bCs/>
          <w:i/>
          <w:iCs/>
          <w:color w:val="000000" w:themeColor="text1"/>
          <w:sz w:val="24"/>
          <w:szCs w:val="24"/>
          <w:lang w:val="en-US"/>
        </w:rPr>
        <w:t xml:space="preserve">tudies of </w:t>
      </w:r>
      <w:r w:rsidR="009F7728">
        <w:rPr>
          <w:rFonts w:eastAsia="Arial" w:cs="Arial"/>
          <w:b/>
          <w:bCs/>
          <w:i/>
          <w:iCs/>
          <w:color w:val="000000" w:themeColor="text1"/>
          <w:sz w:val="24"/>
          <w:szCs w:val="24"/>
          <w:lang w:val="en-US"/>
        </w:rPr>
        <w:t>s</w:t>
      </w:r>
      <w:r w:rsidR="7AA0DBF8" w:rsidRPr="22646DF8">
        <w:rPr>
          <w:rFonts w:eastAsia="Arial" w:cs="Arial"/>
          <w:b/>
          <w:bCs/>
          <w:i/>
          <w:iCs/>
          <w:color w:val="000000" w:themeColor="text1"/>
          <w:sz w:val="24"/>
          <w:szCs w:val="24"/>
          <w:lang w:val="en-US"/>
        </w:rPr>
        <w:t xml:space="preserve">uccessful </w:t>
      </w:r>
      <w:r w:rsidR="009F7728">
        <w:rPr>
          <w:rFonts w:eastAsia="Arial" w:cs="Arial"/>
          <w:b/>
          <w:bCs/>
          <w:i/>
          <w:iCs/>
          <w:color w:val="000000" w:themeColor="text1"/>
          <w:sz w:val="24"/>
          <w:szCs w:val="24"/>
          <w:lang w:val="en-US"/>
        </w:rPr>
        <w:t>i</w:t>
      </w:r>
      <w:r w:rsidR="7AA0DBF8" w:rsidRPr="22646DF8">
        <w:rPr>
          <w:rFonts w:eastAsia="Arial" w:cs="Arial"/>
          <w:b/>
          <w:bCs/>
          <w:i/>
          <w:iCs/>
          <w:color w:val="000000" w:themeColor="text1"/>
          <w:sz w:val="24"/>
          <w:szCs w:val="24"/>
          <w:lang w:val="en-US"/>
        </w:rPr>
        <w:t>mplementation</w:t>
      </w:r>
      <w:r w:rsidR="7AA0DBF8" w:rsidRPr="22646DF8">
        <w:rPr>
          <w:rFonts w:eastAsia="Arial" w:cs="Arial"/>
          <w:b/>
          <w:bCs/>
          <w:color w:val="000000" w:themeColor="text1"/>
          <w:sz w:val="24"/>
          <w:szCs w:val="24"/>
          <w:lang w:val="en-US"/>
        </w:rPr>
        <w:t xml:space="preserve">. London: Rowman &amp; Littlefield. </w:t>
      </w:r>
      <w:r w:rsidR="7AA0DBF8" w:rsidRPr="22646DF8">
        <w:rPr>
          <w:rFonts w:eastAsia="Arial" w:cs="Arial"/>
          <w:b/>
          <w:bCs/>
          <w:i/>
          <w:iCs/>
          <w:color w:val="000000" w:themeColor="text1"/>
          <w:sz w:val="24"/>
          <w:szCs w:val="24"/>
          <w:lang w:val="en-US"/>
        </w:rPr>
        <w:t>Journal of Information Literacy</w:t>
      </w:r>
      <w:r w:rsidR="009F7728">
        <w:rPr>
          <w:rFonts w:eastAsia="Arial" w:cs="Arial"/>
          <w:b/>
          <w:bCs/>
          <w:i/>
          <w:iCs/>
          <w:color w:val="000000" w:themeColor="text1"/>
          <w:sz w:val="24"/>
          <w:szCs w:val="24"/>
          <w:lang w:val="en-US"/>
        </w:rPr>
        <w:t>,</w:t>
      </w:r>
      <w:r w:rsidR="007931DC" w:rsidRPr="22646DF8">
        <w:rPr>
          <w:rFonts w:eastAsia="Arial" w:cs="Arial"/>
          <w:b/>
          <w:bCs/>
          <w:sz w:val="24"/>
          <w:szCs w:val="24"/>
        </w:rPr>
        <w:t xml:space="preserve"> </w:t>
      </w:r>
      <w:r w:rsidR="302F71DA" w:rsidRPr="009F7728">
        <w:rPr>
          <w:rFonts w:eastAsia="Arial" w:cs="Arial"/>
          <w:b/>
          <w:bCs/>
          <w:i/>
          <w:iCs/>
          <w:sz w:val="24"/>
          <w:szCs w:val="24"/>
        </w:rPr>
        <w:t>19</w:t>
      </w:r>
      <w:r w:rsidR="007931DC" w:rsidRPr="22646DF8">
        <w:rPr>
          <w:rFonts w:eastAsia="Arial" w:cs="Arial"/>
          <w:b/>
          <w:bCs/>
          <w:sz w:val="24"/>
          <w:szCs w:val="24"/>
        </w:rPr>
        <w:t>(</w:t>
      </w:r>
      <w:r w:rsidR="6755B83A" w:rsidRPr="22646DF8">
        <w:rPr>
          <w:rFonts w:eastAsia="Arial" w:cs="Arial"/>
          <w:b/>
          <w:bCs/>
          <w:sz w:val="24"/>
          <w:szCs w:val="24"/>
        </w:rPr>
        <w:t>1</w:t>
      </w:r>
      <w:r w:rsidR="007931DC" w:rsidRPr="22646DF8">
        <w:rPr>
          <w:rFonts w:eastAsia="Arial" w:cs="Arial"/>
          <w:b/>
          <w:bCs/>
          <w:sz w:val="24"/>
          <w:szCs w:val="24"/>
        </w:rPr>
        <w:t>), pp.</w:t>
      </w:r>
      <w:r w:rsidR="48F166C9" w:rsidRPr="22646DF8">
        <w:rPr>
          <w:rFonts w:eastAsia="Arial" w:cs="Arial"/>
          <w:b/>
          <w:bCs/>
          <w:sz w:val="24"/>
          <w:szCs w:val="24"/>
        </w:rPr>
        <w:t xml:space="preserve"> </w:t>
      </w:r>
      <w:r w:rsidR="00865DD6" w:rsidRPr="00865DD6">
        <w:rPr>
          <w:rFonts w:eastAsia="Arial" w:cs="Arial"/>
          <w:b/>
          <w:bCs/>
          <w:sz w:val="24"/>
          <w:szCs w:val="24"/>
        </w:rPr>
        <w:t>109</w:t>
      </w:r>
      <w:r w:rsidR="009F7728" w:rsidRPr="00865DD6">
        <w:rPr>
          <w:rFonts w:eastAsia="Arial" w:cs="Arial"/>
          <w:b/>
          <w:sz w:val="24"/>
          <w:szCs w:val="24"/>
        </w:rPr>
        <w:t>–</w:t>
      </w:r>
      <w:r w:rsidR="00865DD6">
        <w:rPr>
          <w:rFonts w:eastAsia="Arial" w:cs="Arial"/>
          <w:b/>
          <w:bCs/>
          <w:sz w:val="24"/>
          <w:szCs w:val="24"/>
        </w:rPr>
        <w:t>111</w:t>
      </w:r>
      <w:r w:rsidR="48F166C9" w:rsidRPr="22646DF8">
        <w:rPr>
          <w:rFonts w:eastAsia="Arial" w:cs="Arial"/>
          <w:b/>
          <w:bCs/>
          <w:sz w:val="24"/>
          <w:szCs w:val="24"/>
        </w:rPr>
        <w:t>.</w:t>
      </w:r>
    </w:p>
    <w:p w14:paraId="6A03F3FD" w14:textId="273619CA" w:rsidR="71A20DE3" w:rsidRDefault="71A20DE3" w:rsidP="22646DF8">
      <w:pPr>
        <w:spacing w:before="120" w:after="80"/>
        <w:jc w:val="both"/>
        <w:rPr>
          <w:rFonts w:eastAsia="Arial" w:cs="Arial"/>
          <w:b/>
          <w:bCs/>
          <w:sz w:val="24"/>
          <w:szCs w:val="24"/>
        </w:rPr>
        <w:sectPr w:rsidR="71A20DE3" w:rsidSect="0017421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09"/>
          <w:cols w:space="720"/>
          <w:titlePg/>
        </w:sectPr>
      </w:pPr>
      <w:hyperlink r:id="rId12">
        <w:r w:rsidRPr="22646DF8">
          <w:rPr>
            <w:rStyle w:val="Hyperlink"/>
            <w:rFonts w:eastAsia="Arial" w:cs="Arial"/>
            <w:b/>
            <w:bCs/>
            <w:sz w:val="24"/>
            <w:szCs w:val="24"/>
          </w:rPr>
          <w:t>http://dx.doi.org/10.11645/19.1.705</w:t>
        </w:r>
      </w:hyperlink>
      <w:r w:rsidRPr="22646DF8">
        <w:rPr>
          <w:rFonts w:eastAsia="Arial" w:cs="Arial"/>
          <w:b/>
          <w:bCs/>
          <w:sz w:val="24"/>
          <w:szCs w:val="24"/>
        </w:rPr>
        <w:t xml:space="preserve">    </w:t>
      </w:r>
    </w:p>
    <w:p w14:paraId="645559B7" w14:textId="77777777" w:rsidR="00A341B4" w:rsidRDefault="00A341B4">
      <w:pPr>
        <w:sectPr w:rsidR="00A341B4">
          <w:type w:val="continuous"/>
          <w:pgSz w:w="12240" w:h="15840"/>
          <w:pgMar w:top="1440" w:right="1440" w:bottom="1440" w:left="1440" w:header="720" w:footer="720" w:gutter="0"/>
          <w:cols w:num="2" w:sep="1" w:space="720" w:equalWidth="0">
            <w:col w:w="4320" w:space="720"/>
            <w:col w:w="4320"/>
          </w:cols>
        </w:sectPr>
      </w:pPr>
    </w:p>
    <w:p w14:paraId="13213696" w14:textId="490C8EBA" w:rsidR="1E32340F" w:rsidRDefault="1E32340F" w:rsidP="22646DF8">
      <w:pPr>
        <w:keepNext/>
        <w:keepLines/>
        <w:pBdr>
          <w:top w:val="nil"/>
          <w:left w:val="nil"/>
          <w:bottom w:val="nil"/>
          <w:right w:val="nil"/>
          <w:between w:val="nil"/>
        </w:pBdr>
        <w:rPr>
          <w:rFonts w:eastAsia="Arial" w:cs="Arial"/>
          <w:b/>
          <w:bCs/>
          <w:color w:val="000000" w:themeColor="text1"/>
        </w:rPr>
      </w:pPr>
      <w:r w:rsidRPr="22646DF8">
        <w:rPr>
          <w:rFonts w:eastAsia="Arial" w:cs="Arial"/>
          <w:b/>
          <w:bCs/>
          <w:color w:val="000000" w:themeColor="text1"/>
        </w:rPr>
        <w:t xml:space="preserve">Abdulkader </w:t>
      </w:r>
      <w:proofErr w:type="spellStart"/>
      <w:r w:rsidRPr="22646DF8">
        <w:rPr>
          <w:rFonts w:eastAsia="Arial" w:cs="Arial"/>
          <w:b/>
          <w:bCs/>
          <w:color w:val="000000" w:themeColor="text1"/>
        </w:rPr>
        <w:t>Abdulkader</w:t>
      </w:r>
      <w:proofErr w:type="spellEnd"/>
    </w:p>
    <w:p w14:paraId="3ED67611" w14:textId="2B196CDF" w:rsidR="00A341B4" w:rsidRDefault="5E87199E" w:rsidP="22646DF8">
      <w:pPr>
        <w:keepNext/>
        <w:keepLines/>
        <w:pBdr>
          <w:top w:val="nil"/>
          <w:left w:val="nil"/>
          <w:bottom w:val="nil"/>
          <w:right w:val="nil"/>
          <w:between w:val="nil"/>
        </w:pBdr>
        <w:rPr>
          <w:rFonts w:eastAsia="Arial" w:cs="Arial"/>
          <w:color w:val="000000" w:themeColor="text1"/>
        </w:rPr>
      </w:pPr>
      <w:r w:rsidRPr="22646DF8">
        <w:rPr>
          <w:rFonts w:eastAsia="Arial" w:cs="Arial"/>
          <w:color w:val="000000" w:themeColor="text1"/>
        </w:rPr>
        <w:t>Student</w:t>
      </w:r>
      <w:r w:rsidR="00A341B4" w:rsidRPr="22646DF8">
        <w:rPr>
          <w:rFonts w:eastAsia="Arial" w:cs="Arial"/>
          <w:color w:val="000000" w:themeColor="text1"/>
        </w:rPr>
        <w:t xml:space="preserve">, </w:t>
      </w:r>
      <w:proofErr w:type="spellStart"/>
      <w:r w:rsidR="60F33926" w:rsidRPr="22646DF8">
        <w:rPr>
          <w:rFonts w:eastAsia="Arial" w:cs="Arial"/>
          <w:color w:val="000000" w:themeColor="text1"/>
        </w:rPr>
        <w:t>Aljamea-tus-Saifiyah</w:t>
      </w:r>
      <w:proofErr w:type="spellEnd"/>
      <w:r w:rsidR="3B4E5E28" w:rsidRPr="22646DF8">
        <w:rPr>
          <w:rFonts w:eastAsia="Arial" w:cs="Arial"/>
          <w:color w:val="000000" w:themeColor="text1"/>
        </w:rPr>
        <w:t>, Kenya.</w:t>
      </w:r>
      <w:r w:rsidR="00A341B4" w:rsidRPr="22646DF8">
        <w:rPr>
          <w:rFonts w:eastAsia="Arial" w:cs="Arial"/>
          <w:color w:val="000000" w:themeColor="text1"/>
        </w:rPr>
        <w:t xml:space="preserve"> </w:t>
      </w:r>
      <w:r w:rsidR="00A341B4">
        <w:br/>
      </w:r>
      <w:r w:rsidR="2158F82F" w:rsidRPr="22646DF8">
        <w:rPr>
          <w:rFonts w:eastAsia="Arial" w:cs="Arial"/>
          <w:color w:val="000000" w:themeColor="text1"/>
        </w:rPr>
        <w:t xml:space="preserve">Email: </w:t>
      </w:r>
      <w:hyperlink r:id="rId13">
        <w:r w:rsidR="2158F82F" w:rsidRPr="22646DF8">
          <w:rPr>
            <w:rStyle w:val="Hyperlink"/>
            <w:rFonts w:eastAsia="Arial" w:cs="Arial"/>
          </w:rPr>
          <w:t>aabdulkader5352@gmail.com</w:t>
        </w:r>
      </w:hyperlink>
      <w:r w:rsidR="009F7728">
        <w:rPr>
          <w:rFonts w:eastAsia="Arial" w:cs="Arial"/>
          <w:color w:val="000000" w:themeColor="text1"/>
        </w:rPr>
        <w:t>.</w:t>
      </w:r>
    </w:p>
    <w:p w14:paraId="6F2FFCB1" w14:textId="77777777" w:rsidR="006F0B16" w:rsidRDefault="006F0B16" w:rsidP="22646DF8">
      <w:pPr>
        <w:keepNext/>
        <w:keepLines/>
        <w:pBdr>
          <w:top w:val="nil"/>
          <w:left w:val="nil"/>
          <w:bottom w:val="nil"/>
          <w:right w:val="nil"/>
          <w:between w:val="nil"/>
        </w:pBdr>
        <w:rPr>
          <w:rFonts w:eastAsia="Arial" w:cs="Arial"/>
          <w:color w:val="000000" w:themeColor="text1"/>
        </w:rPr>
      </w:pPr>
    </w:p>
    <w:p w14:paraId="10CE7695" w14:textId="77777777" w:rsidR="006F0B16" w:rsidRPr="009F7728" w:rsidRDefault="006F0B16" w:rsidP="22646DF8">
      <w:pPr>
        <w:keepNext/>
        <w:keepLines/>
        <w:pBdr>
          <w:top w:val="nil"/>
          <w:left w:val="nil"/>
          <w:bottom w:val="nil"/>
          <w:right w:val="nil"/>
          <w:between w:val="nil"/>
        </w:pBdr>
        <w:rPr>
          <w:rFonts w:eastAsia="Arial" w:cs="Arial"/>
          <w:color w:val="000000"/>
        </w:rPr>
      </w:pPr>
    </w:p>
    <w:p w14:paraId="4AD90408" w14:textId="711633DA" w:rsidR="006F0B16" w:rsidRDefault="00A341B4" w:rsidP="22646DF8">
      <w:pPr>
        <w:rPr>
          <w:rFonts w:eastAsia="Arial" w:cs="Arial"/>
        </w:rPr>
        <w:sectPr w:rsidR="006F0B16">
          <w:type w:val="continuous"/>
          <w:pgSz w:w="12240" w:h="15840"/>
          <w:pgMar w:top="1440" w:right="1440" w:bottom="1440" w:left="1440" w:header="720" w:footer="720" w:gutter="0"/>
          <w:cols w:num="2" w:sep="1" w:space="720" w:equalWidth="0">
            <w:col w:w="4320" w:space="720"/>
            <w:col w:w="4320"/>
          </w:cols>
        </w:sectPr>
      </w:pPr>
      <w:r>
        <w:br w:type="column"/>
      </w:r>
      <w:r w:rsidR="14B830FE" w:rsidRPr="22646DF8">
        <w:rPr>
          <w:rFonts w:eastAsia="Arial" w:cs="Arial"/>
        </w:rPr>
        <w:t xml:space="preserve">Julien, H., Gross, M., </w:t>
      </w:r>
      <w:r w:rsidR="00BF4407">
        <w:rPr>
          <w:rFonts w:eastAsia="Arial" w:cs="Arial"/>
        </w:rPr>
        <w:t xml:space="preserve">and </w:t>
      </w:r>
      <w:r w:rsidR="14B830FE" w:rsidRPr="22646DF8">
        <w:rPr>
          <w:rFonts w:eastAsia="Arial" w:cs="Arial"/>
        </w:rPr>
        <w:t>Latham, D</w:t>
      </w:r>
      <w:r w:rsidRPr="22646DF8">
        <w:rPr>
          <w:rFonts w:eastAsia="Arial" w:cs="Arial"/>
        </w:rPr>
        <w:t xml:space="preserve">. </w:t>
      </w:r>
      <w:r w:rsidR="00CE1ADD">
        <w:rPr>
          <w:rFonts w:eastAsia="Arial" w:cs="Arial"/>
        </w:rPr>
        <w:t xml:space="preserve">(Eds.). </w:t>
      </w:r>
      <w:r w:rsidRPr="22646DF8">
        <w:rPr>
          <w:rFonts w:eastAsia="Arial" w:cs="Arial"/>
        </w:rPr>
        <w:t>(</w:t>
      </w:r>
      <w:r w:rsidR="3A8F02FC" w:rsidRPr="22646DF8">
        <w:rPr>
          <w:rFonts w:eastAsia="Arial" w:cs="Arial"/>
        </w:rPr>
        <w:t>2020</w:t>
      </w:r>
      <w:r w:rsidRPr="22646DF8">
        <w:rPr>
          <w:rFonts w:eastAsia="Arial" w:cs="Arial"/>
        </w:rPr>
        <w:t xml:space="preserve">). </w:t>
      </w:r>
      <w:r w:rsidR="11B601D8" w:rsidRPr="22646DF8">
        <w:rPr>
          <w:rFonts w:eastAsia="Arial" w:cs="Arial"/>
          <w:i/>
          <w:iCs/>
        </w:rPr>
        <w:t xml:space="preserve">The </w:t>
      </w:r>
      <w:r w:rsidR="008A01C4">
        <w:rPr>
          <w:rFonts w:eastAsia="Arial" w:cs="Arial"/>
          <w:i/>
          <w:iCs/>
        </w:rPr>
        <w:t>i</w:t>
      </w:r>
      <w:r w:rsidR="11B601D8" w:rsidRPr="22646DF8">
        <w:rPr>
          <w:rFonts w:eastAsia="Arial" w:cs="Arial"/>
          <w:i/>
          <w:iCs/>
        </w:rPr>
        <w:t xml:space="preserve">nformation </w:t>
      </w:r>
      <w:r w:rsidR="008A01C4">
        <w:rPr>
          <w:rFonts w:eastAsia="Arial" w:cs="Arial"/>
          <w:i/>
          <w:iCs/>
        </w:rPr>
        <w:t>l</w:t>
      </w:r>
      <w:r w:rsidR="11B601D8" w:rsidRPr="22646DF8">
        <w:rPr>
          <w:rFonts w:eastAsia="Arial" w:cs="Arial"/>
          <w:i/>
          <w:iCs/>
        </w:rPr>
        <w:t xml:space="preserve">iteracy </w:t>
      </w:r>
      <w:r w:rsidR="008A01C4">
        <w:rPr>
          <w:rFonts w:eastAsia="Arial" w:cs="Arial"/>
          <w:i/>
          <w:iCs/>
        </w:rPr>
        <w:t>f</w:t>
      </w:r>
      <w:r w:rsidR="11B601D8" w:rsidRPr="22646DF8">
        <w:rPr>
          <w:rFonts w:eastAsia="Arial" w:cs="Arial"/>
          <w:i/>
          <w:iCs/>
        </w:rPr>
        <w:t xml:space="preserve">ramework: Case </w:t>
      </w:r>
      <w:r w:rsidR="008A01C4">
        <w:rPr>
          <w:rFonts w:eastAsia="Arial" w:cs="Arial"/>
          <w:i/>
          <w:iCs/>
        </w:rPr>
        <w:t>s</w:t>
      </w:r>
      <w:r w:rsidR="11B601D8" w:rsidRPr="22646DF8">
        <w:rPr>
          <w:rFonts w:eastAsia="Arial" w:cs="Arial"/>
          <w:i/>
          <w:iCs/>
        </w:rPr>
        <w:t xml:space="preserve">tudies of </w:t>
      </w:r>
      <w:r w:rsidR="008A01C4">
        <w:rPr>
          <w:rFonts w:eastAsia="Arial" w:cs="Arial"/>
          <w:i/>
          <w:iCs/>
        </w:rPr>
        <w:t>s</w:t>
      </w:r>
      <w:r w:rsidR="11B601D8" w:rsidRPr="22646DF8">
        <w:rPr>
          <w:rFonts w:eastAsia="Arial" w:cs="Arial"/>
          <w:i/>
          <w:iCs/>
        </w:rPr>
        <w:t xml:space="preserve">uccessful </w:t>
      </w:r>
      <w:r w:rsidR="008A01C4">
        <w:rPr>
          <w:rFonts w:eastAsia="Arial" w:cs="Arial"/>
          <w:i/>
          <w:iCs/>
        </w:rPr>
        <w:t>i</w:t>
      </w:r>
      <w:r w:rsidR="11B601D8" w:rsidRPr="22646DF8">
        <w:rPr>
          <w:rFonts w:eastAsia="Arial" w:cs="Arial"/>
          <w:i/>
          <w:iCs/>
        </w:rPr>
        <w:t>mplementation</w:t>
      </w:r>
      <w:r w:rsidRPr="22646DF8">
        <w:rPr>
          <w:rFonts w:eastAsia="Arial" w:cs="Arial"/>
        </w:rPr>
        <w:t xml:space="preserve">. </w:t>
      </w:r>
      <w:r w:rsidR="533B3420" w:rsidRPr="22646DF8">
        <w:rPr>
          <w:rFonts w:eastAsia="Arial" w:cs="Arial"/>
        </w:rPr>
        <w:t>London</w:t>
      </w:r>
      <w:r w:rsidRPr="22646DF8">
        <w:rPr>
          <w:rFonts w:eastAsia="Arial" w:cs="Arial"/>
        </w:rPr>
        <w:t xml:space="preserve">: </w:t>
      </w:r>
      <w:r w:rsidR="79D1FE03" w:rsidRPr="22646DF8">
        <w:rPr>
          <w:rFonts w:eastAsia="Arial" w:cs="Arial"/>
        </w:rPr>
        <w:t>Rowman &amp; Littlefield</w:t>
      </w:r>
      <w:r w:rsidRPr="22646DF8">
        <w:rPr>
          <w:rFonts w:eastAsia="Arial" w:cs="Arial"/>
        </w:rPr>
        <w:t>. pp.</w:t>
      </w:r>
      <w:r w:rsidR="008A01C4">
        <w:rPr>
          <w:rFonts w:eastAsia="Arial" w:cs="Arial"/>
        </w:rPr>
        <w:t xml:space="preserve"> </w:t>
      </w:r>
      <w:r w:rsidR="3141A5B2" w:rsidRPr="22646DF8">
        <w:rPr>
          <w:rFonts w:eastAsia="Arial" w:cs="Arial"/>
        </w:rPr>
        <w:t>296.</w:t>
      </w:r>
      <w:r w:rsidRPr="22646DF8">
        <w:rPr>
          <w:rFonts w:eastAsia="Arial" w:cs="Arial"/>
        </w:rPr>
        <w:t xml:space="preserve"> ISBN</w:t>
      </w:r>
      <w:r w:rsidR="04853ADF" w:rsidRPr="22646DF8">
        <w:rPr>
          <w:rFonts w:eastAsia="Arial" w:cs="Arial"/>
        </w:rPr>
        <w:t xml:space="preserve"> 9781538121443</w:t>
      </w:r>
      <w:r w:rsidRPr="22646DF8">
        <w:rPr>
          <w:rFonts w:eastAsia="Arial" w:cs="Arial"/>
        </w:rPr>
        <w:t>. £</w:t>
      </w:r>
      <w:r w:rsidR="00DE4C8A">
        <w:rPr>
          <w:rFonts w:eastAsia="Arial" w:cs="Arial"/>
        </w:rPr>
        <w:t>31</w:t>
      </w:r>
      <w:r w:rsidRPr="22646DF8">
        <w:rPr>
          <w:rFonts w:eastAsia="Arial" w:cs="Arial"/>
        </w:rPr>
        <w:t xml:space="preserve">. </w:t>
      </w:r>
      <w:proofErr w:type="spellStart"/>
      <w:r w:rsidRPr="22646DF8">
        <w:rPr>
          <w:rFonts w:eastAsia="Arial" w:cs="Arial"/>
        </w:rPr>
        <w:t>Pbk</w:t>
      </w:r>
      <w:proofErr w:type="spellEnd"/>
      <w:r w:rsidR="006F0B16">
        <w:rPr>
          <w:rFonts w:eastAsia="Arial" w:cs="Arial"/>
        </w:rPr>
        <w:t xml:space="preserve">. </w:t>
      </w:r>
    </w:p>
    <w:p w14:paraId="433616D4" w14:textId="77777777" w:rsidR="006F0B16" w:rsidRDefault="006F0B16" w:rsidP="006F0B16">
      <w:pPr>
        <w:jc w:val="center"/>
      </w:pPr>
    </w:p>
    <w:p w14:paraId="450AF3F5" w14:textId="2B9D033B" w:rsidR="00A341B4" w:rsidRDefault="125FE095" w:rsidP="006F0B16">
      <w:r w:rsidRPr="22646DF8">
        <w:t xml:space="preserve">The </w:t>
      </w:r>
      <w:r w:rsidRPr="22646DF8">
        <w:rPr>
          <w:i/>
          <w:iCs/>
        </w:rPr>
        <w:t>ACRL Framework for Information Literacy for Higher Education</w:t>
      </w:r>
      <w:r w:rsidRPr="22646DF8">
        <w:t xml:space="preserve">, published in 2015 as a replacement for the </w:t>
      </w:r>
      <w:r w:rsidRPr="00721E0B">
        <w:rPr>
          <w:i/>
          <w:iCs/>
        </w:rPr>
        <w:t>Information Literacy Competency Standards for Higher Education</w:t>
      </w:r>
      <w:r w:rsidRPr="22646DF8">
        <w:t>, marked a significant shift in approach and received a mixed reception. The '</w:t>
      </w:r>
      <w:r w:rsidR="00323374">
        <w:t>s</w:t>
      </w:r>
      <w:r w:rsidRPr="22646DF8">
        <w:t>tandards' which had guided librarians, faculty, and administrators for 15 years, emphasised practical skills with explicit benchmarks. In contrast, the Framework introduced a conceptual approach, focusing on</w:t>
      </w:r>
      <w:r w:rsidR="5FFF79EA" w:rsidRPr="22646DF8">
        <w:t>:</w:t>
      </w:r>
      <w:r w:rsidRPr="22646DF8">
        <w:t xml:space="preserve"> </w:t>
      </w:r>
    </w:p>
    <w:p w14:paraId="2C6ABB5C" w14:textId="29D9322E" w:rsidR="00A341B4" w:rsidRDefault="125FE095" w:rsidP="008B5BB4">
      <w:r w:rsidRPr="22646DF8">
        <w:t>‘</w:t>
      </w:r>
      <w:r w:rsidR="21029B15" w:rsidRPr="22646DF8">
        <w:t>...</w:t>
      </w:r>
      <w:r w:rsidRPr="22646DF8">
        <w:t>a cluster of interconnected core concepts, with flexible options for implementation, rather than on a set of standards or learning outcomes, or any prescriptive enumeration of skills’</w:t>
      </w:r>
      <w:r w:rsidR="6DA5AFE9" w:rsidRPr="22646DF8">
        <w:t xml:space="preserve"> (ACRL, 2015, p.</w:t>
      </w:r>
      <w:r w:rsidR="253215DB" w:rsidRPr="22646DF8">
        <w:t xml:space="preserve"> 2</w:t>
      </w:r>
      <w:r w:rsidR="6DA5AFE9" w:rsidRPr="22646DF8">
        <w:t>).</w:t>
      </w:r>
    </w:p>
    <w:p w14:paraId="5595A9D8" w14:textId="77777777" w:rsidR="00250CC6" w:rsidRDefault="00250CC6" w:rsidP="008B5BB4"/>
    <w:p w14:paraId="7E5542CD" w14:textId="1A3B25CB" w:rsidR="00A341B4" w:rsidRDefault="125FE095" w:rsidP="008B5BB4">
      <w:r w:rsidRPr="5CE5EDF8">
        <w:t>However, its abstract ideas and vague language led to criticism, with a 2018 survey revealing that 41 percent of librarians reported the Framework either did not inform or only partly informed their practices, while 31 percent found it significantly influenced their work</w:t>
      </w:r>
      <w:r w:rsidR="67694C39" w:rsidRPr="5CE5EDF8">
        <w:t xml:space="preserve"> (Julien</w:t>
      </w:r>
      <w:r w:rsidR="0CFD994A" w:rsidRPr="5CE5EDF8">
        <w:t xml:space="preserve"> et al., 2018</w:t>
      </w:r>
      <w:r w:rsidR="3E326A5C" w:rsidRPr="5CE5EDF8">
        <w:t>, p.</w:t>
      </w:r>
      <w:r w:rsidR="00323374">
        <w:t xml:space="preserve"> </w:t>
      </w:r>
      <w:r w:rsidR="3E326A5C" w:rsidRPr="5CE5EDF8">
        <w:t>187</w:t>
      </w:r>
      <w:r w:rsidR="0CFD994A" w:rsidRPr="5CE5EDF8">
        <w:t>).</w:t>
      </w:r>
      <w:r w:rsidRPr="5CE5EDF8">
        <w:t xml:space="preserve"> These critiques likely stem from perceptions that the Framework is </w:t>
      </w:r>
      <w:r w:rsidR="00323374">
        <w:t>“</w:t>
      </w:r>
      <w:r w:rsidRPr="5CE5EDF8">
        <w:t>too theoretical, too open to interpretation, and too lacking in active verbs</w:t>
      </w:r>
      <w:r w:rsidR="00323374">
        <w:t xml:space="preserve">” </w:t>
      </w:r>
      <w:r w:rsidR="5C5B51D9" w:rsidRPr="5CE5EDF8">
        <w:t>(</w:t>
      </w:r>
      <w:r w:rsidR="536C9521" w:rsidRPr="5CE5EDF8">
        <w:t>Julien et al., 2020, p. 163</w:t>
      </w:r>
      <w:r w:rsidR="5C5B51D9" w:rsidRPr="5CE5EDF8">
        <w:t xml:space="preserve">). </w:t>
      </w:r>
      <w:r w:rsidRPr="5CE5EDF8">
        <w:t>This book, published five years later, serves as a response to th</w:t>
      </w:r>
      <w:r w:rsidR="45C10E84" w:rsidRPr="5CE5EDF8">
        <w:t>e original</w:t>
      </w:r>
      <w:r w:rsidRPr="5CE5EDF8">
        <w:t xml:space="preserve"> mixed reception, offering practical case studies that address concerns of impracticality and demonstrate how the Framework can be effectively implemented in diverse contexts. </w:t>
      </w:r>
    </w:p>
    <w:p w14:paraId="455F1BC6" w14:textId="77777777" w:rsidR="009F7728" w:rsidRDefault="009F7728" w:rsidP="008B5BB4"/>
    <w:p w14:paraId="10275376" w14:textId="79261668" w:rsidR="00A341B4" w:rsidRDefault="125FE095" w:rsidP="008B5BB4">
      <w:r w:rsidRPr="22646DF8">
        <w:t>The book is easy to navigate and is structured in three segments that address important aspects of implementing the ACRL Framework. Part 1</w:t>
      </w:r>
      <w:r w:rsidR="00323374">
        <w:t xml:space="preserve">: </w:t>
      </w:r>
      <w:r w:rsidRPr="22646DF8">
        <w:rPr>
          <w:i/>
          <w:iCs/>
        </w:rPr>
        <w:t>Preparing to Use the Framework</w:t>
      </w:r>
      <w:r w:rsidRPr="22646DF8">
        <w:t>, gives foundational strategies for integrating the Framework into teaching. Some, like</w:t>
      </w:r>
      <w:r w:rsidR="3A3E52FC" w:rsidRPr="22646DF8">
        <w:t xml:space="preserve"> </w:t>
      </w:r>
      <w:r w:rsidRPr="22646DF8">
        <w:rPr>
          <w:i/>
          <w:iCs/>
        </w:rPr>
        <w:t>Strategies for Mapping Information Literacy Threshold Concepts to Course Objectives in Political Science</w:t>
      </w:r>
      <w:r w:rsidRPr="22646DF8">
        <w:t xml:space="preserve"> by Mohamed Berray, focus on mapping the threshold concepts of the Framework to course </w:t>
      </w:r>
      <w:r w:rsidRPr="22646DF8">
        <w:lastRenderedPageBreak/>
        <w:t xml:space="preserve">objectives for a specific discipline. Others, like </w:t>
      </w:r>
      <w:r w:rsidRPr="22646DF8">
        <w:rPr>
          <w:i/>
          <w:iCs/>
        </w:rPr>
        <w:t>Faculty Workshops</w:t>
      </w:r>
      <w:r w:rsidRPr="22646DF8">
        <w:t xml:space="preserve"> approach collaboration </w:t>
      </w:r>
      <w:proofErr w:type="gramStart"/>
      <w:r w:rsidRPr="22646DF8">
        <w:t>in order to</w:t>
      </w:r>
      <w:proofErr w:type="gramEnd"/>
      <w:r w:rsidRPr="22646DF8">
        <w:t xml:space="preserve"> embed information literacy</w:t>
      </w:r>
      <w:r w:rsidR="00721E0B">
        <w:t xml:space="preserve"> (IL)</w:t>
      </w:r>
      <w:r w:rsidRPr="22646DF8">
        <w:t xml:space="preserve"> into undergraduate curricula by teaching faculty separately. Articles like</w:t>
      </w:r>
      <w:r w:rsidR="085BDBA1" w:rsidRPr="22646DF8">
        <w:t xml:space="preserve"> </w:t>
      </w:r>
      <w:r w:rsidRPr="22646DF8">
        <w:rPr>
          <w:i/>
          <w:iCs/>
        </w:rPr>
        <w:t>Finding Expertise in Your Own Backyard</w:t>
      </w:r>
      <w:r w:rsidRPr="22646DF8">
        <w:t xml:space="preserve"> point out the function of communities of practice in helping educators make meaning of and deploy the Framework. These articles inform the reader of how the Framework can help foster collaboration between faculty and librarians.  </w:t>
      </w:r>
    </w:p>
    <w:p w14:paraId="6185933B" w14:textId="77777777" w:rsidR="00250CC6" w:rsidRDefault="00250CC6" w:rsidP="008B5BB4"/>
    <w:p w14:paraId="5A72A4B5" w14:textId="45368FCA" w:rsidR="00A341B4" w:rsidRDefault="125FE095" w:rsidP="008B5BB4">
      <w:r w:rsidRPr="22646DF8">
        <w:t>Part II</w:t>
      </w:r>
      <w:r w:rsidR="00323374">
        <w:t>:</w:t>
      </w:r>
      <w:r w:rsidRPr="22646DF8">
        <w:t> </w:t>
      </w:r>
      <w:proofErr w:type="gramStart"/>
      <w:r w:rsidRPr="22646DF8">
        <w:rPr>
          <w:i/>
          <w:iCs/>
        </w:rPr>
        <w:t>Case Studies of Instruction Using the Framework</w:t>
      </w:r>
      <w:r w:rsidRPr="22646DF8">
        <w:t>,</w:t>
      </w:r>
      <w:proofErr w:type="gramEnd"/>
      <w:r w:rsidRPr="22646DF8">
        <w:t xml:space="preserve"> presents the practical application of the Framework in multiple circumstances. </w:t>
      </w:r>
      <w:r w:rsidRPr="22646DF8">
        <w:rPr>
          <w:i/>
          <w:iCs/>
        </w:rPr>
        <w:t>Teaching the Framework Using an Online Tutorial</w:t>
      </w:r>
      <w:r w:rsidRPr="22646DF8">
        <w:t xml:space="preserve"> by Leanna Fry Balci and Peter J. Rich demonstrates how the digital tool can effectively communicate </w:t>
      </w:r>
      <w:r w:rsidR="00721E0B">
        <w:t>IL</w:t>
      </w:r>
      <w:r w:rsidRPr="22646DF8">
        <w:t xml:space="preserve"> concepts, while others, such as </w:t>
      </w:r>
      <w:r w:rsidRPr="22646DF8">
        <w:rPr>
          <w:i/>
          <w:iCs/>
        </w:rPr>
        <w:t xml:space="preserve">Designing a First-Year Foundation Program Around the Framework </w:t>
      </w:r>
      <w:r w:rsidRPr="22646DF8">
        <w:t xml:space="preserve">show its integration into foundational courses. Other contributions, such as </w:t>
      </w:r>
      <w:r w:rsidRPr="22646DF8">
        <w:rPr>
          <w:i/>
          <w:iCs/>
        </w:rPr>
        <w:t xml:space="preserve">The Framework and the Context: Refocusing Information Literacy at a Caribbean University </w:t>
      </w:r>
      <w:r w:rsidRPr="22646DF8">
        <w:t xml:space="preserve">by Paulette A. Kerr and Jessica C. Lewis, show the tailoring of the Framework to needs of </w:t>
      </w:r>
      <w:proofErr w:type="gramStart"/>
      <w:r w:rsidRPr="22646DF8">
        <w:t>particular institutions</w:t>
      </w:r>
      <w:proofErr w:type="gramEnd"/>
      <w:r w:rsidRPr="22646DF8">
        <w:t xml:space="preserve"> or regions. Altogether, these case studies show the flexibility and contextual appropriateness of the Framework in a wide variety of educational settings. </w:t>
      </w:r>
    </w:p>
    <w:p w14:paraId="0C54B40E" w14:textId="77777777" w:rsidR="009F7728" w:rsidRDefault="009F7728" w:rsidP="008B5BB4"/>
    <w:p w14:paraId="0368DB59" w14:textId="59370389" w:rsidR="00A341B4" w:rsidRDefault="125FE095" w:rsidP="008B5BB4">
      <w:r w:rsidRPr="22646DF8">
        <w:t>Part III</w:t>
      </w:r>
      <w:r w:rsidR="00323374">
        <w:t>:</w:t>
      </w:r>
      <w:r w:rsidRPr="22646DF8">
        <w:t xml:space="preserve"> </w:t>
      </w:r>
      <w:r w:rsidRPr="22646DF8">
        <w:rPr>
          <w:i/>
          <w:iCs/>
        </w:rPr>
        <w:t>Educating for the Framework</w:t>
      </w:r>
      <w:r w:rsidRPr="22646DF8">
        <w:t xml:space="preserve">, puts the emphasis on professional development and future directions. Articles such as </w:t>
      </w:r>
      <w:r w:rsidRPr="22646DF8">
        <w:rPr>
          <w:i/>
          <w:iCs/>
        </w:rPr>
        <w:t>Flexible Frameworks, New Paradigms</w:t>
      </w:r>
      <w:r w:rsidRPr="22646DF8">
        <w:t xml:space="preserve"> by Andrea Baer, examine how beliefs about the Framework inform teaching practices and how tackling those beliefs can lead to better instruction. </w:t>
      </w:r>
      <w:r w:rsidRPr="22646DF8">
        <w:rPr>
          <w:i/>
          <w:iCs/>
        </w:rPr>
        <w:t>Extending the Framework for the Benefit of Praxis</w:t>
      </w:r>
      <w:r w:rsidRPr="22646DF8">
        <w:t xml:space="preserve"> looks at its application in diversity education. Others, like </w:t>
      </w:r>
      <w:r w:rsidRPr="22646DF8">
        <w:rPr>
          <w:i/>
          <w:iCs/>
        </w:rPr>
        <w:t>Rethinking the Reference and Instruction Curriculum</w:t>
      </w:r>
      <w:r w:rsidRPr="22646DF8">
        <w:t xml:space="preserve"> discuss integrating it into librarian training programs. This section demonstrates how the Framework can not only guide student learning but also inform educator development and institutional practices. Taken together, these three sections provide an in-depth exploration of the theoretical roots, practical applications, and professional implications of the ACRL Framework. </w:t>
      </w:r>
    </w:p>
    <w:p w14:paraId="4C168A96" w14:textId="77777777" w:rsidR="009F7728" w:rsidRDefault="009F7728" w:rsidP="008B5BB4"/>
    <w:p w14:paraId="09CE8F29" w14:textId="5223DE0F" w:rsidR="00A341B4" w:rsidRDefault="125FE095" w:rsidP="008B5BB4">
      <w:r w:rsidRPr="22646DF8">
        <w:t xml:space="preserve">The book is aimed at librarians in higher education who are familiar with the Framework and </w:t>
      </w:r>
      <w:r w:rsidR="00721E0B">
        <w:t xml:space="preserve">IL </w:t>
      </w:r>
      <w:r w:rsidRPr="22646DF8">
        <w:t xml:space="preserve">jargon. This is because the book is written largely by librarians for members of the </w:t>
      </w:r>
      <w:r w:rsidR="00721E0B">
        <w:t>IL</w:t>
      </w:r>
      <w:r w:rsidRPr="22646DF8">
        <w:t xml:space="preserve"> and higher education community. One of the considerations of the book is that an understanding of the Framework is a prerequisite for reading the book as it provides no in-depth introduction to the Framework. This may be because of its intended </w:t>
      </w:r>
      <w:r w:rsidR="00323374" w:rsidRPr="22646DF8">
        <w:t>audience;</w:t>
      </w:r>
      <w:r w:rsidRPr="22646DF8">
        <w:t xml:space="preserve"> however, someone who is </w:t>
      </w:r>
      <w:r w:rsidR="19189E01" w:rsidRPr="22646DF8">
        <w:t>un</w:t>
      </w:r>
      <w:r w:rsidRPr="22646DF8">
        <w:t xml:space="preserve">familiar with </w:t>
      </w:r>
      <w:r w:rsidR="00721E0B">
        <w:t xml:space="preserve">IL </w:t>
      </w:r>
      <w:r w:rsidRPr="22646DF8">
        <w:t xml:space="preserve">may struggle to understand the book if they do not have prior knowledge of the Framework itself.  </w:t>
      </w:r>
    </w:p>
    <w:p w14:paraId="25D619C4" w14:textId="77777777" w:rsidR="008B5BB4" w:rsidRDefault="008B5BB4" w:rsidP="008B5BB4"/>
    <w:p w14:paraId="47B82020" w14:textId="4C2440C8" w:rsidR="00A341B4" w:rsidRDefault="125FE095" w:rsidP="008B5BB4">
      <w:r w:rsidRPr="22646DF8">
        <w:t>For a librarian in higher education the book will be a fruitful resource. It provides case studies from a range of circumstances and is a good source of inspiration for someone in the information science field. For example, Chapter 1 discusses integrating the Framework into a political science course by partnering with faculty while Chapter 2 discusses running separate workshops for faculty to learn from. Chapter 11 discusses using the Framework in the Caribbean while Chapter 14 discusses using it in a community college. The range of situations and methods makes the book a helpful resource for a librarian looking to incorporate the Framework into their institution, no matter their situation.</w:t>
      </w:r>
    </w:p>
    <w:p w14:paraId="2671C780" w14:textId="77777777" w:rsidR="009F7728" w:rsidRDefault="009F7728" w:rsidP="008B5BB4"/>
    <w:p w14:paraId="2B76AD67" w14:textId="6D502765" w:rsidR="00A341B4" w:rsidRDefault="125FE095" w:rsidP="008B5BB4">
      <w:r w:rsidRPr="22646DF8">
        <w:t>The book will also be helpful to those who were initially disenchanted by the new Framework.</w:t>
      </w:r>
      <w:r w:rsidR="009867C4">
        <w:t xml:space="preserve"> It </w:t>
      </w:r>
      <w:r w:rsidRPr="22646DF8">
        <w:t xml:space="preserve">highlights how the flexibility of the Framework and its overarching threshold concepts can be used effectively. This is evident in Chapter 12, where Liza Oldham recounts her journey of </w:t>
      </w:r>
      <w:r w:rsidRPr="22646DF8">
        <w:lastRenderedPageBreak/>
        <w:t>adopting the Framework to enhance history students' understanding of threshold concepts in</w:t>
      </w:r>
      <w:r w:rsidR="00721E0B">
        <w:t xml:space="preserve"> IL</w:t>
      </w:r>
      <w:r w:rsidRPr="22646DF8">
        <w:t>.</w:t>
      </w:r>
      <w:r w:rsidR="009867C4">
        <w:t xml:space="preserve"> </w:t>
      </w:r>
      <w:r w:rsidRPr="22646DF8">
        <w:t xml:space="preserve">Adopting the Framework did not just help students overcome threshold concepts but also helped her as a librarian develop a ‘truly unique research curriculum.’ This chapter is helpful because it provides a personal perspective on how to adapt the Framework, even when facing initial challenges with it. </w:t>
      </w:r>
    </w:p>
    <w:p w14:paraId="196BEFD7" w14:textId="77777777" w:rsidR="009F7728" w:rsidRDefault="009F7728" w:rsidP="008B5BB4"/>
    <w:p w14:paraId="3AEDDEC9" w14:textId="77777777" w:rsidR="009867C4" w:rsidRDefault="125FE095" w:rsidP="008B5BB4">
      <w:r w:rsidRPr="5CE5EDF8">
        <w:t xml:space="preserve">The book briefly mentions ways that the case studies were not effective; however, few attributed this ineffectuality to the Framework itself. Jillian Collier in her article </w:t>
      </w:r>
      <w:r w:rsidRPr="5CE5EDF8">
        <w:rPr>
          <w:i/>
          <w:iCs/>
        </w:rPr>
        <w:t xml:space="preserve">Pick Your Battles: Re-examining the Framework for </w:t>
      </w:r>
      <w:r w:rsidR="497FB1C2" w:rsidRPr="5CE5EDF8">
        <w:rPr>
          <w:i/>
          <w:iCs/>
        </w:rPr>
        <w:t>c</w:t>
      </w:r>
      <w:r w:rsidRPr="5CE5EDF8">
        <w:rPr>
          <w:i/>
          <w:iCs/>
        </w:rPr>
        <w:t xml:space="preserve">ommunity </w:t>
      </w:r>
      <w:r w:rsidR="5BADFF57" w:rsidRPr="5CE5EDF8">
        <w:rPr>
          <w:i/>
          <w:iCs/>
        </w:rPr>
        <w:t>c</w:t>
      </w:r>
      <w:r w:rsidRPr="5CE5EDF8">
        <w:rPr>
          <w:i/>
          <w:iCs/>
        </w:rPr>
        <w:t>olleges</w:t>
      </w:r>
      <w:r w:rsidRPr="5CE5EDF8">
        <w:t xml:space="preserve"> mentions: </w:t>
      </w:r>
    </w:p>
    <w:p w14:paraId="5B942E80" w14:textId="77777777" w:rsidR="009867C4" w:rsidRDefault="009867C4" w:rsidP="008B5BB4"/>
    <w:p w14:paraId="47E7F69D" w14:textId="5A09556F" w:rsidR="00A341B4" w:rsidRDefault="125FE095" w:rsidP="009867C4">
      <w:pPr>
        <w:ind w:left="720"/>
      </w:pPr>
      <w:r w:rsidRPr="5CE5EDF8">
        <w:t>Engagement with the Framework, however, has been unenthusiastic among community college librarians. According to a recent survey, 'only eleven percent of respondents strongly agree with the statement: "I am very familiar with the frames, knowledge practices and dispositions in the ACRL Framework" and only 37 percent say that it is 'easy to integrate' into community college instruction. Open-ended responses from the same survey included no positive comments on the Framework’s relevance to community college campuses specifically.</w:t>
      </w:r>
      <w:r w:rsidR="317CA543" w:rsidRPr="5CE5EDF8">
        <w:t xml:space="preserve"> (Collier, 2019, pp. 494</w:t>
      </w:r>
      <w:r w:rsidR="00372FC5" w:rsidRPr="009F7728">
        <w:rPr>
          <w:rFonts w:eastAsia="Arial" w:cs="Arial"/>
        </w:rPr>
        <w:t>–</w:t>
      </w:r>
      <w:r w:rsidR="317CA543" w:rsidRPr="5CE5EDF8">
        <w:t>5)</w:t>
      </w:r>
    </w:p>
    <w:p w14:paraId="17DD4885" w14:textId="77777777" w:rsidR="008B5BB4" w:rsidRDefault="008B5BB4" w:rsidP="008B5BB4"/>
    <w:p w14:paraId="60FBE954" w14:textId="4E86FA07" w:rsidR="00A341B4" w:rsidRDefault="125FE095" w:rsidP="008B5BB4">
      <w:r w:rsidRPr="22646DF8">
        <w:t>This highlights that there are some instances where the Framework has not been received well. Although the book explicitly states that it is about successful implementation</w:t>
      </w:r>
      <w:r w:rsidR="00186FFC">
        <w:t>,</w:t>
      </w:r>
      <w:r w:rsidRPr="22646DF8">
        <w:t xml:space="preserve"> a less biased approach feels needed. The lack of conclusion reflects this, which could have acknowledged that, although largely positive, the Framework has still not been well received in community college libraries. The preface mentions the challenge librarians face when interpreting the Framework but there is a lack of articles in the book addressing this directly. </w:t>
      </w:r>
    </w:p>
    <w:p w14:paraId="1F48409C" w14:textId="77777777" w:rsidR="009F7728" w:rsidRDefault="009F7728" w:rsidP="008B5BB4"/>
    <w:p w14:paraId="1B6FDB90" w14:textId="5CDCD79B" w:rsidR="5CE5EDF8" w:rsidRDefault="125FE095" w:rsidP="008B5BB4">
      <w:r w:rsidRPr="5CE5EDF8">
        <w:t xml:space="preserve">Overall, the book will be helpful to those who want inspiration as to how to use the Framework in a range of environments. It is clear, methodical, and the authors have been generous in sharing their experiences. A conclusion is lacking, which could have given further acknowledgment of how the Framework has not been effective in some circumstances. Despite this, I still recommend this book to anyone in the Information Science </w:t>
      </w:r>
      <w:r w:rsidR="41104B29" w:rsidRPr="5CE5EDF8">
        <w:t>f</w:t>
      </w:r>
      <w:r w:rsidRPr="5CE5EDF8">
        <w:t>ield looking for ways to incorporate the Framework into their institution no matter their circumstances. </w:t>
      </w:r>
    </w:p>
    <w:p w14:paraId="7B1D0E06" w14:textId="77777777" w:rsidR="009F7728" w:rsidRPr="009F7728" w:rsidRDefault="009F7728" w:rsidP="009F7728">
      <w:pPr>
        <w:pBdr>
          <w:top w:val="nil"/>
          <w:left w:val="nil"/>
          <w:bottom w:val="nil"/>
          <w:right w:val="nil"/>
          <w:between w:val="nil"/>
        </w:pBdr>
        <w:rPr>
          <w:rFonts w:cs="Arial"/>
        </w:rPr>
      </w:pPr>
    </w:p>
    <w:p w14:paraId="6404D084" w14:textId="113997DC" w:rsidR="00A341B4" w:rsidRDefault="2DFEDBBE" w:rsidP="00250CC6">
      <w:pPr>
        <w:pStyle w:val="Heading2"/>
        <w:spacing w:before="0" w:after="200"/>
      </w:pPr>
      <w:r w:rsidRPr="00250CC6">
        <w:rPr>
          <w:sz w:val="28"/>
          <w:szCs w:val="28"/>
        </w:rPr>
        <w:t>References</w:t>
      </w:r>
    </w:p>
    <w:p w14:paraId="6B7D3DE6" w14:textId="06147CB9" w:rsidR="00A341B4" w:rsidRDefault="2DFEDBBE" w:rsidP="009F7728">
      <w:pPr>
        <w:rPr>
          <w:rFonts w:eastAsia="Arial" w:cs="Arial"/>
        </w:rPr>
      </w:pPr>
      <w:r w:rsidRPr="5CE5EDF8">
        <w:rPr>
          <w:rFonts w:eastAsia="Arial" w:cs="Arial"/>
        </w:rPr>
        <w:t>ACRL (201</w:t>
      </w:r>
      <w:r w:rsidR="7697C101" w:rsidRPr="5CE5EDF8">
        <w:rPr>
          <w:rFonts w:eastAsia="Arial" w:cs="Arial"/>
        </w:rPr>
        <w:t>5</w:t>
      </w:r>
      <w:r w:rsidRPr="5CE5EDF8">
        <w:rPr>
          <w:rFonts w:eastAsia="Arial" w:cs="Arial"/>
        </w:rPr>
        <w:t xml:space="preserve">). </w:t>
      </w:r>
      <w:hyperlink r:id="rId14" w:history="1">
        <w:r w:rsidRPr="009F7728">
          <w:rPr>
            <w:rStyle w:val="Hyperlink"/>
            <w:rFonts w:eastAsia="Arial" w:cs="Arial"/>
            <w:i/>
            <w:iCs/>
          </w:rPr>
          <w:t>Framework for Information Literacy for Higher Education</w:t>
        </w:r>
      </w:hyperlink>
      <w:r w:rsidRPr="5CE5EDF8">
        <w:rPr>
          <w:rFonts w:eastAsia="Arial" w:cs="Arial"/>
          <w:i/>
          <w:iCs/>
        </w:rPr>
        <w:t>.</w:t>
      </w:r>
      <w:r w:rsidR="009F7728">
        <w:rPr>
          <w:rFonts w:eastAsia="Arial" w:cs="Arial"/>
          <w:i/>
          <w:iCs/>
        </w:rPr>
        <w:t xml:space="preserve"> </w:t>
      </w:r>
      <w:r w:rsidR="009F7728" w:rsidRPr="009F7728">
        <w:rPr>
          <w:rFonts w:eastAsia="Arial" w:cs="Arial"/>
        </w:rPr>
        <w:t>ALA.</w:t>
      </w:r>
      <w:r w:rsidR="2C0FA034" w:rsidRPr="5CE5EDF8">
        <w:rPr>
          <w:rFonts w:eastAsia="Arial" w:cs="Arial"/>
          <w:i/>
          <w:iCs/>
        </w:rPr>
        <w:t xml:space="preserve"> </w:t>
      </w:r>
    </w:p>
    <w:p w14:paraId="04CC6AA7" w14:textId="77777777" w:rsidR="009F7728" w:rsidRDefault="009F7728" w:rsidP="009F7728">
      <w:pPr>
        <w:rPr>
          <w:rFonts w:eastAsia="Arial" w:cs="Arial"/>
        </w:rPr>
      </w:pPr>
    </w:p>
    <w:p w14:paraId="4D0203B9" w14:textId="09726654" w:rsidR="1BAF57E6" w:rsidRDefault="1BAF57E6" w:rsidP="009F7728">
      <w:pPr>
        <w:rPr>
          <w:rFonts w:eastAsia="Arial" w:cs="Arial"/>
        </w:rPr>
      </w:pPr>
      <w:r w:rsidRPr="5CE5EDF8">
        <w:rPr>
          <w:rFonts w:eastAsia="Arial" w:cs="Arial"/>
        </w:rPr>
        <w:t>Collier, J</w:t>
      </w:r>
      <w:r w:rsidR="2FFCC7D3" w:rsidRPr="5CE5EDF8">
        <w:rPr>
          <w:rFonts w:eastAsia="Arial" w:cs="Arial"/>
        </w:rPr>
        <w:t>.</w:t>
      </w:r>
      <w:r w:rsidRPr="5CE5EDF8">
        <w:rPr>
          <w:rFonts w:eastAsia="Arial" w:cs="Arial"/>
        </w:rPr>
        <w:t xml:space="preserve"> (2019)</w:t>
      </w:r>
      <w:r w:rsidR="009F7728">
        <w:rPr>
          <w:rFonts w:eastAsia="Arial" w:cs="Arial"/>
        </w:rPr>
        <w:t>.</w:t>
      </w:r>
      <w:r w:rsidR="6BD568C3" w:rsidRPr="5CE5EDF8">
        <w:rPr>
          <w:rFonts w:eastAsia="Arial" w:cs="Arial"/>
        </w:rPr>
        <w:t xml:space="preserve"> </w:t>
      </w:r>
      <w:hyperlink r:id="rId15" w:history="1">
        <w:r w:rsidR="4707D95A" w:rsidRPr="009F7728">
          <w:rPr>
            <w:rStyle w:val="Hyperlink"/>
            <w:rFonts w:eastAsia="Arial" w:cs="Arial"/>
          </w:rPr>
          <w:t xml:space="preserve">Pick your battles: Re-examining the </w:t>
        </w:r>
        <w:r w:rsidR="009F7728" w:rsidRPr="009F7728">
          <w:rPr>
            <w:rStyle w:val="Hyperlink"/>
            <w:rFonts w:eastAsia="Arial" w:cs="Arial"/>
          </w:rPr>
          <w:t>f</w:t>
        </w:r>
        <w:r w:rsidR="4707D95A" w:rsidRPr="009F7728">
          <w:rPr>
            <w:rStyle w:val="Hyperlink"/>
            <w:rFonts w:eastAsia="Arial" w:cs="Arial"/>
          </w:rPr>
          <w:t>ramework for community colleges</w:t>
        </w:r>
      </w:hyperlink>
      <w:r w:rsidR="4707D95A" w:rsidRPr="5CE5EDF8">
        <w:rPr>
          <w:rFonts w:eastAsia="Arial" w:cs="Arial"/>
        </w:rPr>
        <w:t xml:space="preserve">. </w:t>
      </w:r>
      <w:r w:rsidR="2600908F" w:rsidRPr="5CE5EDF8">
        <w:rPr>
          <w:rFonts w:eastAsia="Arial" w:cs="Arial"/>
          <w:i/>
          <w:iCs/>
        </w:rPr>
        <w:t>College &amp; Research Libraries News, 80</w:t>
      </w:r>
      <w:r w:rsidR="2600908F" w:rsidRPr="5CE5EDF8">
        <w:rPr>
          <w:rFonts w:eastAsia="Arial" w:cs="Arial"/>
        </w:rPr>
        <w:t>(9), 494</w:t>
      </w:r>
      <w:r w:rsidR="009F7728" w:rsidRPr="009F7728">
        <w:rPr>
          <w:rFonts w:eastAsia="Arial" w:cs="Arial"/>
        </w:rPr>
        <w:t>–</w:t>
      </w:r>
      <w:r w:rsidR="009F7728">
        <w:rPr>
          <w:rFonts w:eastAsia="Arial" w:cs="Arial"/>
        </w:rPr>
        <w:t>497</w:t>
      </w:r>
      <w:r w:rsidR="2600908F" w:rsidRPr="5CE5EDF8">
        <w:rPr>
          <w:rFonts w:eastAsia="Arial" w:cs="Arial"/>
        </w:rPr>
        <w:t xml:space="preserve">. </w:t>
      </w:r>
    </w:p>
    <w:p w14:paraId="563B2814" w14:textId="77777777" w:rsidR="009F7728" w:rsidRDefault="009F7728" w:rsidP="009F7728">
      <w:pPr>
        <w:rPr>
          <w:rStyle w:val="None"/>
          <w:rFonts w:ascii="Arial" w:eastAsia="Arial" w:hAnsi="Arial" w:cs="Arial"/>
          <w:color w:val="000000" w:themeColor="text1"/>
          <w:lang w:val="en-US"/>
        </w:rPr>
      </w:pPr>
    </w:p>
    <w:p w14:paraId="442D5EE7" w14:textId="31243CBF" w:rsidR="00A341B4" w:rsidRDefault="06366D41" w:rsidP="009F7728">
      <w:pPr>
        <w:rPr>
          <w:rStyle w:val="None"/>
          <w:rFonts w:ascii="Arial" w:eastAsia="Arial" w:hAnsi="Arial" w:cs="Arial"/>
          <w:color w:val="000000" w:themeColor="text1"/>
          <w:lang w:val="en-US"/>
        </w:rPr>
      </w:pPr>
      <w:r w:rsidRPr="5CE5EDF8">
        <w:rPr>
          <w:rStyle w:val="None"/>
          <w:rFonts w:ascii="Arial" w:eastAsia="Arial" w:hAnsi="Arial" w:cs="Arial"/>
          <w:color w:val="000000" w:themeColor="text1"/>
          <w:lang w:val="en-US"/>
        </w:rPr>
        <w:t xml:space="preserve">Julien, H., Gross, M., &amp; Latham, D. (2018). </w:t>
      </w:r>
      <w:hyperlink r:id="rId16">
        <w:r w:rsidRPr="5CE5EDF8">
          <w:rPr>
            <w:rStyle w:val="Hyperlink"/>
            <w:rFonts w:eastAsia="Arial" w:cs="Arial"/>
            <w:lang w:val="en-US"/>
          </w:rPr>
          <w:t>Survey of information literacy instructional practices in US academic libraries</w:t>
        </w:r>
      </w:hyperlink>
      <w:r w:rsidRPr="5CE5EDF8">
        <w:rPr>
          <w:rStyle w:val="None"/>
          <w:rFonts w:ascii="Arial" w:eastAsia="Arial" w:hAnsi="Arial" w:cs="Arial"/>
          <w:color w:val="000000" w:themeColor="text1"/>
          <w:lang w:val="en-US"/>
        </w:rPr>
        <w:t xml:space="preserve">. </w:t>
      </w:r>
      <w:r w:rsidRPr="5CE5EDF8">
        <w:rPr>
          <w:rStyle w:val="None"/>
          <w:rFonts w:ascii="Arial" w:eastAsia="Arial" w:hAnsi="Arial" w:cs="Arial"/>
          <w:i/>
          <w:iCs/>
          <w:color w:val="000000" w:themeColor="text1"/>
          <w:lang w:val="en-US"/>
        </w:rPr>
        <w:t>College &amp; Research Libraries</w:t>
      </w:r>
      <w:r w:rsidRPr="5CE5EDF8">
        <w:rPr>
          <w:rStyle w:val="None"/>
          <w:rFonts w:ascii="Arial" w:eastAsia="Arial" w:hAnsi="Arial" w:cs="Arial"/>
          <w:color w:val="000000" w:themeColor="text1"/>
          <w:lang w:val="en-US"/>
        </w:rPr>
        <w:t xml:space="preserve">, </w:t>
      </w:r>
      <w:r w:rsidRPr="5CE5EDF8">
        <w:rPr>
          <w:rStyle w:val="None"/>
          <w:rFonts w:ascii="Arial" w:eastAsia="Arial" w:hAnsi="Arial" w:cs="Arial"/>
          <w:i/>
          <w:iCs/>
          <w:color w:val="000000" w:themeColor="text1"/>
          <w:lang w:val="en-US"/>
        </w:rPr>
        <w:t>79</w:t>
      </w:r>
      <w:r w:rsidRPr="5CE5EDF8">
        <w:rPr>
          <w:rStyle w:val="None"/>
          <w:rFonts w:ascii="Arial" w:eastAsia="Arial" w:hAnsi="Arial" w:cs="Arial"/>
          <w:color w:val="000000" w:themeColor="text1"/>
          <w:lang w:val="en-US"/>
        </w:rPr>
        <w:t>(2), 179</w:t>
      </w:r>
      <w:r w:rsidR="009F7728" w:rsidRPr="009F7728">
        <w:rPr>
          <w:rFonts w:eastAsia="Arial" w:cs="Arial"/>
          <w:color w:val="000000" w:themeColor="text1"/>
        </w:rPr>
        <w:t>–</w:t>
      </w:r>
      <w:r w:rsidR="7CE7A746" w:rsidRPr="5CE5EDF8">
        <w:rPr>
          <w:rStyle w:val="None"/>
          <w:rFonts w:ascii="Arial" w:eastAsia="Arial" w:hAnsi="Arial" w:cs="Arial"/>
          <w:color w:val="000000" w:themeColor="text1"/>
          <w:lang w:val="en-US"/>
        </w:rPr>
        <w:t>199</w:t>
      </w:r>
      <w:r w:rsidRPr="5CE5EDF8">
        <w:rPr>
          <w:rStyle w:val="None"/>
          <w:rFonts w:ascii="Arial" w:eastAsia="Arial" w:hAnsi="Arial" w:cs="Arial"/>
          <w:color w:val="000000" w:themeColor="text1"/>
          <w:lang w:val="en-US"/>
        </w:rPr>
        <w:t>.</w:t>
      </w:r>
      <w:r w:rsidR="0DDE3F05" w:rsidRPr="5CE5EDF8">
        <w:rPr>
          <w:rStyle w:val="None"/>
          <w:rFonts w:ascii="Arial" w:eastAsia="Arial" w:hAnsi="Arial" w:cs="Arial"/>
          <w:color w:val="000000" w:themeColor="text1"/>
          <w:lang w:val="en-US"/>
        </w:rPr>
        <w:t xml:space="preserve"> </w:t>
      </w:r>
    </w:p>
    <w:p w14:paraId="03C0D1F3" w14:textId="77777777" w:rsidR="009F7728" w:rsidRDefault="009F7728" w:rsidP="009F7728">
      <w:pPr>
        <w:rPr>
          <w:rFonts w:eastAsia="Arial" w:cs="Arial"/>
        </w:rPr>
      </w:pPr>
    </w:p>
    <w:p w14:paraId="54678BD5" w14:textId="174306DC" w:rsidR="00A341B4" w:rsidRDefault="15D9DBF8" w:rsidP="009F7728">
      <w:pPr>
        <w:rPr>
          <w:rFonts w:eastAsia="Arial" w:cs="Arial"/>
          <w:color w:val="000000" w:themeColor="text1"/>
        </w:rPr>
      </w:pPr>
      <w:r w:rsidRPr="5CE5EDF8">
        <w:rPr>
          <w:rFonts w:eastAsia="Arial" w:cs="Arial"/>
        </w:rPr>
        <w:t xml:space="preserve">Julien, H., Gross, M., Latham, D. (2020). </w:t>
      </w:r>
      <w:r w:rsidRPr="5CE5EDF8">
        <w:rPr>
          <w:rFonts w:eastAsia="Arial" w:cs="Arial"/>
          <w:i/>
          <w:iCs/>
        </w:rPr>
        <w:t xml:space="preserve">The </w:t>
      </w:r>
      <w:r w:rsidR="009F7728">
        <w:rPr>
          <w:rFonts w:eastAsia="Arial" w:cs="Arial"/>
          <w:i/>
          <w:iCs/>
        </w:rPr>
        <w:t>i</w:t>
      </w:r>
      <w:r w:rsidRPr="5CE5EDF8">
        <w:rPr>
          <w:rFonts w:eastAsia="Arial" w:cs="Arial"/>
          <w:i/>
          <w:iCs/>
        </w:rPr>
        <w:t xml:space="preserve">nformation </w:t>
      </w:r>
      <w:r w:rsidR="009F7728">
        <w:rPr>
          <w:rFonts w:eastAsia="Arial" w:cs="Arial"/>
          <w:i/>
          <w:iCs/>
        </w:rPr>
        <w:t>l</w:t>
      </w:r>
      <w:r w:rsidRPr="5CE5EDF8">
        <w:rPr>
          <w:rFonts w:eastAsia="Arial" w:cs="Arial"/>
          <w:i/>
          <w:iCs/>
        </w:rPr>
        <w:t xml:space="preserve">iteracy </w:t>
      </w:r>
      <w:r w:rsidR="009F7728">
        <w:rPr>
          <w:rFonts w:eastAsia="Arial" w:cs="Arial"/>
          <w:i/>
          <w:iCs/>
        </w:rPr>
        <w:t>f</w:t>
      </w:r>
      <w:r w:rsidRPr="5CE5EDF8">
        <w:rPr>
          <w:rFonts w:eastAsia="Arial" w:cs="Arial"/>
          <w:i/>
          <w:iCs/>
        </w:rPr>
        <w:t xml:space="preserve">ramework: Case </w:t>
      </w:r>
      <w:r w:rsidR="3DB8ABD3" w:rsidRPr="5CE5EDF8">
        <w:rPr>
          <w:rFonts w:eastAsia="Arial" w:cs="Arial"/>
          <w:i/>
          <w:iCs/>
        </w:rPr>
        <w:t>s</w:t>
      </w:r>
      <w:r w:rsidRPr="5CE5EDF8">
        <w:rPr>
          <w:rFonts w:eastAsia="Arial" w:cs="Arial"/>
          <w:i/>
          <w:iCs/>
        </w:rPr>
        <w:t xml:space="preserve">tudies of </w:t>
      </w:r>
      <w:r w:rsidR="37D85E72" w:rsidRPr="5CE5EDF8">
        <w:rPr>
          <w:rFonts w:eastAsia="Arial" w:cs="Arial"/>
          <w:i/>
          <w:iCs/>
        </w:rPr>
        <w:t>s</w:t>
      </w:r>
      <w:r w:rsidRPr="5CE5EDF8">
        <w:rPr>
          <w:rFonts w:eastAsia="Arial" w:cs="Arial"/>
          <w:i/>
          <w:iCs/>
        </w:rPr>
        <w:t xml:space="preserve">uccessful </w:t>
      </w:r>
      <w:r w:rsidR="4A240812" w:rsidRPr="5CE5EDF8">
        <w:rPr>
          <w:rFonts w:eastAsia="Arial" w:cs="Arial"/>
          <w:i/>
          <w:iCs/>
        </w:rPr>
        <w:t>i</w:t>
      </w:r>
      <w:r w:rsidRPr="5CE5EDF8">
        <w:rPr>
          <w:rFonts w:eastAsia="Arial" w:cs="Arial"/>
          <w:i/>
          <w:iCs/>
        </w:rPr>
        <w:t>mplementation</w:t>
      </w:r>
      <w:r w:rsidRPr="5CE5EDF8">
        <w:rPr>
          <w:rFonts w:eastAsia="Arial" w:cs="Arial"/>
        </w:rPr>
        <w:t>. London: Rowman &amp; Littlefiel</w:t>
      </w:r>
      <w:r w:rsidR="009F7728">
        <w:rPr>
          <w:rFonts w:eastAsia="Arial" w:cs="Arial"/>
        </w:rPr>
        <w:t>d.</w:t>
      </w:r>
    </w:p>
    <w:sectPr w:rsidR="00A341B4" w:rsidSect="006F0B16">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949"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AEFC3" w14:textId="77777777" w:rsidR="005E2960" w:rsidRDefault="005E2960">
      <w:r>
        <w:separator/>
      </w:r>
    </w:p>
  </w:endnote>
  <w:endnote w:type="continuationSeparator" w:id="0">
    <w:p w14:paraId="66246280" w14:textId="77777777" w:rsidR="005E2960" w:rsidRDefault="005E2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D6270" w14:textId="77777777" w:rsidR="00A341B4" w:rsidRDefault="00A341B4">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2AAC" w14:textId="021DBBF8" w:rsidR="00A341B4" w:rsidRDefault="22646DF8" w:rsidP="22646DF8">
    <w:pPr>
      <w:pBdr>
        <w:top w:val="nil"/>
        <w:left w:val="nil"/>
        <w:bottom w:val="nil"/>
        <w:right w:val="nil"/>
        <w:between w:val="nil"/>
      </w:pBdr>
      <w:tabs>
        <w:tab w:val="center" w:pos="4680"/>
        <w:tab w:val="right" w:pos="9360"/>
      </w:tabs>
      <w:ind w:right="360"/>
      <w:rPr>
        <w:rFonts w:eastAsia="Arial" w:cs="Arial"/>
        <w:i/>
        <w:iCs/>
        <w:color w:val="000000"/>
        <w:sz w:val="18"/>
        <w:szCs w:val="18"/>
      </w:rPr>
    </w:pPr>
    <w:r w:rsidRPr="22646DF8">
      <w:rPr>
        <w:rFonts w:eastAsia="Arial" w:cs="Arial"/>
        <w:i/>
        <w:iCs/>
        <w:color w:val="000000" w:themeColor="text1"/>
        <w:sz w:val="18"/>
        <w:szCs w:val="18"/>
      </w:rPr>
      <w:t>JIL, 2025, 19(1).</w:t>
    </w:r>
  </w:p>
  <w:p w14:paraId="6E9DFEF2" w14:textId="34AF76A3" w:rsidR="00A341B4" w:rsidRDefault="22646DF8" w:rsidP="22646DF8">
    <w:pPr>
      <w:pBdr>
        <w:top w:val="nil"/>
        <w:left w:val="nil"/>
        <w:bottom w:val="nil"/>
        <w:right w:val="nil"/>
        <w:between w:val="nil"/>
      </w:pBdr>
      <w:tabs>
        <w:tab w:val="center" w:pos="4513"/>
        <w:tab w:val="right" w:pos="9026"/>
      </w:tabs>
      <w:rPr>
        <w:rFonts w:eastAsia="Arial" w:cs="Arial"/>
        <w:i/>
        <w:iCs/>
        <w:color w:val="000000"/>
        <w:sz w:val="18"/>
        <w:szCs w:val="18"/>
      </w:rPr>
    </w:pPr>
    <w:r w:rsidRPr="22646DF8">
      <w:rPr>
        <w:rFonts w:eastAsia="Arial" w:cs="Arial"/>
        <w:i/>
        <w:iCs/>
        <w:color w:val="000000" w:themeColor="text1"/>
        <w:sz w:val="18"/>
        <w:szCs w:val="18"/>
      </w:rPr>
      <w:t>http://dx.doi.org/10.11645/19.1.705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60965" w14:textId="773F9F5E" w:rsidR="00A341B4" w:rsidRDefault="00A34270">
    <w:pPr>
      <w:rPr>
        <w:rFonts w:eastAsia="Arial" w:cs="Arial"/>
        <w:sz w:val="20"/>
        <w:szCs w:val="20"/>
      </w:rPr>
    </w:pPr>
    <w:r>
      <w:rPr>
        <w:rFonts w:eastAsia="Arial" w:cs="Arial"/>
        <w:sz w:val="20"/>
        <w:szCs w:val="20"/>
      </w:rPr>
      <w:br/>
    </w:r>
    <w:r w:rsidR="007931DC">
      <w:rPr>
        <w:rFonts w:eastAsia="Arial" w:cs="Arial"/>
        <w:sz w:val="20"/>
        <w:szCs w:val="20"/>
      </w:rPr>
      <w:t xml:space="preserve">This </w:t>
    </w:r>
    <w:hyperlink r:id="rId1">
      <w:r w:rsidR="00A341B4">
        <w:rPr>
          <w:rFonts w:eastAsia="Arial" w:cs="Arial"/>
          <w:color w:val="0000FF"/>
          <w:sz w:val="20"/>
          <w:szCs w:val="20"/>
          <w:u w:val="single"/>
        </w:rPr>
        <w:t>Open Access</w:t>
      </w:r>
    </w:hyperlink>
    <w:r w:rsidR="007931DC">
      <w:rPr>
        <w:rFonts w:eastAsia="Arial" w:cs="Arial"/>
        <w:sz w:val="20"/>
        <w:szCs w:val="20"/>
      </w:rPr>
      <w:t xml:space="preserve"> work is licensed under a </w:t>
    </w:r>
    <w:hyperlink r:id="rId2">
      <w:r w:rsidR="00A341B4">
        <w:rPr>
          <w:rFonts w:eastAsia="Arial" w:cs="Arial"/>
          <w:color w:val="0000FF"/>
          <w:sz w:val="20"/>
          <w:szCs w:val="20"/>
          <w:u w:val="single"/>
        </w:rPr>
        <w:t>Creative Commons Attribution-</w:t>
      </w:r>
      <w:proofErr w:type="spellStart"/>
      <w:r w:rsidR="00A341B4">
        <w:rPr>
          <w:rFonts w:eastAsia="Arial" w:cs="Arial"/>
          <w:color w:val="0000FF"/>
          <w:sz w:val="20"/>
          <w:szCs w:val="20"/>
          <w:u w:val="single"/>
        </w:rPr>
        <w:t>ShareAlike</w:t>
      </w:r>
      <w:proofErr w:type="spellEnd"/>
      <w:r w:rsidR="00A341B4">
        <w:rPr>
          <w:rFonts w:eastAsia="Arial" w:cs="Arial"/>
          <w:color w:val="0000FF"/>
          <w:sz w:val="20"/>
          <w:szCs w:val="20"/>
          <w:u w:val="single"/>
        </w:rPr>
        <w:t xml:space="preserve"> 4.0 International License</w:t>
      </w:r>
    </w:hyperlink>
    <w:r w:rsidR="007931DC">
      <w:rPr>
        <w:rFonts w:eastAsia="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7A9AD4A8" w14:textId="77777777" w:rsidR="00250CC6" w:rsidRDefault="00250CC6">
    <w:pPr>
      <w:rPr>
        <w:rFonts w:ascii="Times New Roman" w:eastAsia="Times New Roman" w:hAnsi="Times New Roman" w:cs="Times New Roman"/>
        <w:sz w:val="28"/>
        <w:szCs w:val="28"/>
      </w:rPr>
    </w:pPr>
  </w:p>
  <w:p w14:paraId="64633CCF" w14:textId="01610447" w:rsidR="00A341B4" w:rsidRDefault="22646DF8" w:rsidP="22646DF8">
    <w:pPr>
      <w:keepNext/>
      <w:rPr>
        <w:rFonts w:eastAsia="Arial" w:cs="Arial"/>
        <w:i/>
        <w:iCs/>
        <w:sz w:val="18"/>
        <w:szCs w:val="18"/>
      </w:rPr>
    </w:pPr>
    <w:r w:rsidRPr="22646DF8">
      <w:rPr>
        <w:rFonts w:eastAsia="Arial" w:cs="Arial"/>
        <w:i/>
        <w:iCs/>
        <w:sz w:val="18"/>
        <w:szCs w:val="18"/>
      </w:rPr>
      <w:t xml:space="preserve">Abdulkader. 2025. </w:t>
    </w:r>
    <w:r w:rsidRPr="22646DF8">
      <w:rPr>
        <w:rFonts w:eastAsia="Arial" w:cs="Arial"/>
        <w:i/>
        <w:iCs/>
        <w:color w:val="000000" w:themeColor="text1"/>
        <w:sz w:val="18"/>
        <w:szCs w:val="18"/>
        <w:lang w:val="en-US"/>
      </w:rPr>
      <w:t xml:space="preserve">Book Review of Julien, H., Gross, M., </w:t>
    </w:r>
    <w:r w:rsidR="00BF4407">
      <w:rPr>
        <w:rFonts w:eastAsia="Arial" w:cs="Arial"/>
        <w:i/>
        <w:iCs/>
        <w:color w:val="000000" w:themeColor="text1"/>
        <w:sz w:val="18"/>
        <w:szCs w:val="18"/>
        <w:lang w:val="en-US"/>
      </w:rPr>
      <w:t xml:space="preserve">and </w:t>
    </w:r>
    <w:r w:rsidRPr="22646DF8">
      <w:rPr>
        <w:rFonts w:eastAsia="Arial" w:cs="Arial"/>
        <w:i/>
        <w:iCs/>
        <w:color w:val="000000" w:themeColor="text1"/>
        <w:sz w:val="18"/>
        <w:szCs w:val="18"/>
        <w:lang w:val="en-US"/>
      </w:rPr>
      <w:t xml:space="preserve">Latham, D. </w:t>
    </w:r>
    <w:r w:rsidR="00CE1ADD">
      <w:rPr>
        <w:rFonts w:eastAsia="Arial" w:cs="Arial"/>
        <w:i/>
        <w:iCs/>
        <w:color w:val="000000" w:themeColor="text1"/>
        <w:sz w:val="18"/>
        <w:szCs w:val="18"/>
        <w:lang w:val="en-US"/>
      </w:rPr>
      <w:t xml:space="preserve">(Eds.). </w:t>
    </w:r>
    <w:r w:rsidRPr="22646DF8">
      <w:rPr>
        <w:rFonts w:eastAsia="Arial" w:cs="Arial"/>
        <w:i/>
        <w:iCs/>
        <w:color w:val="000000" w:themeColor="text1"/>
        <w:sz w:val="18"/>
        <w:szCs w:val="18"/>
        <w:lang w:val="en-US"/>
      </w:rPr>
      <w:t xml:space="preserve">2020. The </w:t>
    </w:r>
    <w:r w:rsidR="00721E0B">
      <w:rPr>
        <w:rFonts w:eastAsia="Arial" w:cs="Arial"/>
        <w:i/>
        <w:iCs/>
        <w:color w:val="000000" w:themeColor="text1"/>
        <w:sz w:val="18"/>
        <w:szCs w:val="18"/>
        <w:lang w:val="en-US"/>
      </w:rPr>
      <w:t>i</w:t>
    </w:r>
    <w:r w:rsidRPr="22646DF8">
      <w:rPr>
        <w:rFonts w:eastAsia="Arial" w:cs="Arial"/>
        <w:i/>
        <w:iCs/>
        <w:color w:val="000000" w:themeColor="text1"/>
        <w:sz w:val="18"/>
        <w:szCs w:val="18"/>
        <w:lang w:val="en-US"/>
      </w:rPr>
      <w:t xml:space="preserve">nformation </w:t>
    </w:r>
    <w:r w:rsidR="00721E0B">
      <w:rPr>
        <w:rFonts w:eastAsia="Arial" w:cs="Arial"/>
        <w:i/>
        <w:iCs/>
        <w:color w:val="000000" w:themeColor="text1"/>
        <w:sz w:val="18"/>
        <w:szCs w:val="18"/>
        <w:lang w:val="en-US"/>
      </w:rPr>
      <w:t>l</w:t>
    </w:r>
    <w:r w:rsidRPr="22646DF8">
      <w:rPr>
        <w:rFonts w:eastAsia="Arial" w:cs="Arial"/>
        <w:i/>
        <w:iCs/>
        <w:color w:val="000000" w:themeColor="text1"/>
        <w:sz w:val="18"/>
        <w:szCs w:val="18"/>
        <w:lang w:val="en-US"/>
      </w:rPr>
      <w:t xml:space="preserve">iteracy </w:t>
    </w:r>
    <w:r w:rsidR="00721E0B">
      <w:rPr>
        <w:rFonts w:eastAsia="Arial" w:cs="Arial"/>
        <w:i/>
        <w:iCs/>
        <w:color w:val="000000" w:themeColor="text1"/>
        <w:sz w:val="18"/>
        <w:szCs w:val="18"/>
        <w:lang w:val="en-US"/>
      </w:rPr>
      <w:t>f</w:t>
    </w:r>
    <w:r w:rsidRPr="22646DF8">
      <w:rPr>
        <w:rFonts w:eastAsia="Arial" w:cs="Arial"/>
        <w:i/>
        <w:iCs/>
        <w:color w:val="000000" w:themeColor="text1"/>
        <w:sz w:val="18"/>
        <w:szCs w:val="18"/>
        <w:lang w:val="en-US"/>
      </w:rPr>
      <w:t xml:space="preserve">ramework: Case </w:t>
    </w:r>
    <w:r w:rsidR="00721E0B">
      <w:rPr>
        <w:rFonts w:eastAsia="Arial" w:cs="Arial"/>
        <w:i/>
        <w:iCs/>
        <w:color w:val="000000" w:themeColor="text1"/>
        <w:sz w:val="18"/>
        <w:szCs w:val="18"/>
        <w:lang w:val="en-US"/>
      </w:rPr>
      <w:t>s</w:t>
    </w:r>
    <w:r w:rsidRPr="22646DF8">
      <w:rPr>
        <w:rFonts w:eastAsia="Arial" w:cs="Arial"/>
        <w:i/>
        <w:iCs/>
        <w:color w:val="000000" w:themeColor="text1"/>
        <w:sz w:val="18"/>
        <w:szCs w:val="18"/>
        <w:lang w:val="en-US"/>
      </w:rPr>
      <w:t xml:space="preserve">tudies of </w:t>
    </w:r>
    <w:r w:rsidR="00721E0B">
      <w:rPr>
        <w:rFonts w:eastAsia="Arial" w:cs="Arial"/>
        <w:i/>
        <w:iCs/>
        <w:color w:val="000000" w:themeColor="text1"/>
        <w:sz w:val="18"/>
        <w:szCs w:val="18"/>
        <w:lang w:val="en-US"/>
      </w:rPr>
      <w:t>s</w:t>
    </w:r>
    <w:r w:rsidRPr="22646DF8">
      <w:rPr>
        <w:rFonts w:eastAsia="Arial" w:cs="Arial"/>
        <w:i/>
        <w:iCs/>
        <w:color w:val="000000" w:themeColor="text1"/>
        <w:sz w:val="18"/>
        <w:szCs w:val="18"/>
        <w:lang w:val="en-US"/>
      </w:rPr>
      <w:t xml:space="preserve">uccessful </w:t>
    </w:r>
    <w:r w:rsidR="00721E0B">
      <w:rPr>
        <w:rFonts w:eastAsia="Arial" w:cs="Arial"/>
        <w:i/>
        <w:iCs/>
        <w:color w:val="000000" w:themeColor="text1"/>
        <w:sz w:val="18"/>
        <w:szCs w:val="18"/>
        <w:lang w:val="en-US"/>
      </w:rPr>
      <w:t>i</w:t>
    </w:r>
    <w:r w:rsidRPr="22646DF8">
      <w:rPr>
        <w:rFonts w:eastAsia="Arial" w:cs="Arial"/>
        <w:i/>
        <w:iCs/>
        <w:color w:val="000000" w:themeColor="text1"/>
        <w:sz w:val="18"/>
        <w:szCs w:val="18"/>
        <w:lang w:val="en-US"/>
      </w:rPr>
      <w:t xml:space="preserve">mplementation. </w:t>
    </w:r>
    <w:r w:rsidRPr="22646DF8">
      <w:rPr>
        <w:rFonts w:eastAsia="Arial" w:cs="Arial"/>
        <w:i/>
        <w:iCs/>
        <w:sz w:val="18"/>
        <w:szCs w:val="18"/>
      </w:rPr>
      <w:t xml:space="preserve">Journal of Information Literacy, 19(1), pp. </w:t>
    </w:r>
    <w:r w:rsidR="00865DD6">
      <w:rPr>
        <w:rFonts w:eastAsia="Arial" w:cs="Arial"/>
        <w:i/>
        <w:iCs/>
        <w:sz w:val="18"/>
        <w:szCs w:val="18"/>
      </w:rPr>
      <w:t>109</w:t>
    </w:r>
    <w:r w:rsidRPr="22646DF8">
      <w:rPr>
        <w:rFonts w:eastAsia="Arial" w:cs="Arial"/>
        <w:i/>
        <w:iCs/>
        <w:sz w:val="18"/>
        <w:szCs w:val="18"/>
      </w:rPr>
      <w:t>–</w:t>
    </w:r>
    <w:r w:rsidR="00865DD6">
      <w:rPr>
        <w:rFonts w:eastAsia="Arial" w:cs="Arial"/>
        <w:i/>
        <w:iCs/>
        <w:sz w:val="18"/>
        <w:szCs w:val="18"/>
      </w:rPr>
      <w:t>111</w:t>
    </w:r>
    <w:r w:rsidRPr="22646DF8">
      <w:rPr>
        <w:rFonts w:eastAsia="Arial" w:cs="Arial"/>
        <w:i/>
        <w:iCs/>
        <w:sz w:val="18"/>
        <w:szCs w:val="18"/>
      </w:rPr>
      <w:t>.</w:t>
    </w:r>
  </w:p>
  <w:p w14:paraId="4E20B83A" w14:textId="714D1B0B" w:rsidR="00A341B4" w:rsidRDefault="22646DF8" w:rsidP="22646DF8">
    <w:pPr>
      <w:rPr>
        <w:rFonts w:eastAsia="Arial" w:cs="Arial"/>
        <w:i/>
        <w:iCs/>
        <w:sz w:val="18"/>
        <w:szCs w:val="18"/>
      </w:rPr>
    </w:pPr>
    <w:r w:rsidRPr="22646DF8">
      <w:rPr>
        <w:rFonts w:eastAsia="Arial" w:cs="Arial"/>
        <w:i/>
        <w:iCs/>
        <w:sz w:val="18"/>
        <w:szCs w:val="18"/>
      </w:rPr>
      <w:t>http://dx.doi.org/10.11645/19.1.705</w:t>
    </w:r>
  </w:p>
  <w:p w14:paraId="5848598B" w14:textId="77777777" w:rsidR="00A341B4" w:rsidRDefault="00A341B4">
    <w:pPr>
      <w:pBdr>
        <w:top w:val="nil"/>
        <w:left w:val="nil"/>
        <w:bottom w:val="nil"/>
        <w:right w:val="nil"/>
        <w:between w:val="nil"/>
      </w:pBdr>
      <w:tabs>
        <w:tab w:val="center" w:pos="4513"/>
        <w:tab w:val="right" w:pos="9026"/>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ED70" w14:textId="77777777" w:rsidR="00A341B4" w:rsidRDefault="00A341B4">
    <w:pPr>
      <w:pBdr>
        <w:top w:val="nil"/>
        <w:left w:val="nil"/>
        <w:bottom w:val="nil"/>
        <w:right w:val="nil"/>
        <w:between w:val="nil"/>
      </w:pBdr>
      <w:tabs>
        <w:tab w:val="center" w:pos="4513"/>
        <w:tab w:val="right" w:pos="9026"/>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2FCA3" w14:textId="79CF4399" w:rsidR="00A341B4" w:rsidRDefault="22646DF8" w:rsidP="22646DF8">
    <w:pPr>
      <w:pBdr>
        <w:top w:val="nil"/>
        <w:left w:val="nil"/>
        <w:bottom w:val="nil"/>
        <w:right w:val="nil"/>
        <w:between w:val="nil"/>
      </w:pBdr>
      <w:tabs>
        <w:tab w:val="center" w:pos="4680"/>
        <w:tab w:val="right" w:pos="9360"/>
      </w:tabs>
      <w:ind w:right="360"/>
      <w:rPr>
        <w:rFonts w:eastAsia="Arial" w:cs="Arial"/>
        <w:i/>
        <w:iCs/>
        <w:color w:val="000000"/>
        <w:sz w:val="18"/>
        <w:szCs w:val="18"/>
      </w:rPr>
    </w:pPr>
    <w:r w:rsidRPr="22646DF8">
      <w:rPr>
        <w:rFonts w:eastAsia="Arial" w:cs="Arial"/>
        <w:i/>
        <w:iCs/>
        <w:color w:val="000000" w:themeColor="text1"/>
        <w:sz w:val="18"/>
        <w:szCs w:val="18"/>
      </w:rPr>
      <w:t>JIL, 2025, 19(1).</w:t>
    </w:r>
  </w:p>
  <w:p w14:paraId="1EE2CFC2" w14:textId="3E07711C" w:rsidR="00A341B4" w:rsidRDefault="22646DF8" w:rsidP="22646DF8">
    <w:pPr>
      <w:pBdr>
        <w:top w:val="nil"/>
        <w:left w:val="nil"/>
        <w:bottom w:val="nil"/>
        <w:right w:val="nil"/>
        <w:between w:val="nil"/>
      </w:pBdr>
      <w:tabs>
        <w:tab w:val="center" w:pos="4513"/>
        <w:tab w:val="right" w:pos="9026"/>
      </w:tabs>
      <w:rPr>
        <w:rFonts w:eastAsia="Arial" w:cs="Arial"/>
        <w:i/>
        <w:iCs/>
        <w:color w:val="000000"/>
        <w:sz w:val="18"/>
        <w:szCs w:val="18"/>
      </w:rPr>
    </w:pPr>
    <w:r w:rsidRPr="22646DF8">
      <w:rPr>
        <w:rFonts w:eastAsia="Arial" w:cs="Arial"/>
        <w:i/>
        <w:iCs/>
        <w:color w:val="000000" w:themeColor="text1"/>
        <w:sz w:val="18"/>
        <w:szCs w:val="18"/>
      </w:rPr>
      <w:t>http://dx.doi.org/10.11645/19.1.705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64E05" w14:textId="77777777" w:rsidR="00A341B4" w:rsidRDefault="007931DC">
    <w:pPr>
      <w:rPr>
        <w:rFonts w:ascii="Times New Roman" w:eastAsia="Times New Roman" w:hAnsi="Times New Roman" w:cs="Times New Roman"/>
        <w:sz w:val="28"/>
        <w:szCs w:val="28"/>
      </w:rPr>
    </w:pPr>
    <w:r>
      <w:rPr>
        <w:rFonts w:eastAsia="Arial" w:cs="Arial"/>
        <w:sz w:val="20"/>
        <w:szCs w:val="20"/>
      </w:rPr>
      <w:t xml:space="preserve">This </w:t>
    </w:r>
    <w:hyperlink r:id="rId1">
      <w:r w:rsidR="00A341B4">
        <w:rPr>
          <w:rFonts w:eastAsia="Arial" w:cs="Arial"/>
          <w:color w:val="0563C1"/>
          <w:sz w:val="20"/>
          <w:szCs w:val="20"/>
          <w:u w:val="single"/>
        </w:rPr>
        <w:t>Open Access</w:t>
      </w:r>
    </w:hyperlink>
    <w:r>
      <w:rPr>
        <w:rFonts w:eastAsia="Arial" w:cs="Arial"/>
        <w:sz w:val="20"/>
        <w:szCs w:val="20"/>
      </w:rPr>
      <w:t xml:space="preserve"> work is licensed under a </w:t>
    </w:r>
    <w:hyperlink r:id="rId2">
      <w:r w:rsidR="00A341B4">
        <w:rPr>
          <w:rFonts w:eastAsia="Arial" w:cs="Arial"/>
          <w:color w:val="0000FF"/>
          <w:sz w:val="20"/>
          <w:szCs w:val="20"/>
          <w:u w:val="single"/>
        </w:rPr>
        <w:t>Creative Commons Attribution-</w:t>
      </w:r>
      <w:proofErr w:type="spellStart"/>
      <w:r w:rsidR="00A341B4">
        <w:rPr>
          <w:rFonts w:eastAsia="Arial" w:cs="Arial"/>
          <w:color w:val="0000FF"/>
          <w:sz w:val="20"/>
          <w:szCs w:val="20"/>
          <w:u w:val="single"/>
        </w:rPr>
        <w:t>ShareAlike</w:t>
      </w:r>
      <w:proofErr w:type="spellEnd"/>
      <w:r w:rsidR="00A341B4">
        <w:rPr>
          <w:rFonts w:eastAsia="Arial" w:cs="Arial"/>
          <w:color w:val="0000FF"/>
          <w:sz w:val="20"/>
          <w:szCs w:val="20"/>
          <w:u w:val="single"/>
        </w:rPr>
        <w:t xml:space="preserve"> 4.0 International License</w:t>
      </w:r>
    </w:hyperlink>
    <w:r>
      <w:rPr>
        <w:rFonts w:eastAsia="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469BEE4F" w14:textId="77777777" w:rsidR="00A341B4" w:rsidRDefault="00A341B4">
    <w:pPr>
      <w:keepNext/>
      <w:rPr>
        <w:rFonts w:eastAsia="Arial" w:cs="Arial"/>
        <w:i/>
        <w:sz w:val="18"/>
        <w:szCs w:val="18"/>
      </w:rPr>
    </w:pPr>
  </w:p>
  <w:p w14:paraId="67121407" w14:textId="77777777" w:rsidR="00A341B4" w:rsidRDefault="007931DC">
    <w:pPr>
      <w:keepNext/>
      <w:rPr>
        <w:rFonts w:eastAsia="Arial" w:cs="Arial"/>
        <w:i/>
        <w:sz w:val="18"/>
        <w:szCs w:val="18"/>
      </w:rPr>
    </w:pPr>
    <w:r>
      <w:rPr>
        <w:rFonts w:eastAsia="Arial" w:cs="Arial"/>
        <w:i/>
        <w:sz w:val="18"/>
        <w:szCs w:val="18"/>
      </w:rPr>
      <w:t>Authors. Year. Journal of Information Literacy, xx(x), pp. xx–xx.</w:t>
    </w:r>
  </w:p>
  <w:p w14:paraId="3B974DC0" w14:textId="77777777" w:rsidR="00A341B4" w:rsidRDefault="007931DC">
    <w:pPr>
      <w:rPr>
        <w:rFonts w:eastAsia="Arial" w:cs="Arial"/>
        <w:i/>
        <w:sz w:val="18"/>
        <w:szCs w:val="18"/>
      </w:rPr>
    </w:pPr>
    <w:r>
      <w:rPr>
        <w:rFonts w:eastAsia="Arial" w:cs="Arial"/>
        <w:i/>
        <w:sz w:val="18"/>
        <w:szCs w:val="18"/>
      </w:rPr>
      <w:t>http://dx.doi.org/10.11645/xx.x.xxxx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D98EB" w14:textId="77777777" w:rsidR="005E2960" w:rsidRDefault="005E2960">
      <w:r>
        <w:separator/>
      </w:r>
    </w:p>
  </w:footnote>
  <w:footnote w:type="continuationSeparator" w:id="0">
    <w:p w14:paraId="769521AB" w14:textId="77777777" w:rsidR="005E2960" w:rsidRDefault="005E2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9226" w14:textId="77777777" w:rsidR="00A341B4" w:rsidRDefault="00A341B4">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DF526" w14:textId="04BB285E" w:rsidR="00A341B4" w:rsidRDefault="22646DF8" w:rsidP="22646DF8">
    <w:pPr>
      <w:pBdr>
        <w:top w:val="nil"/>
        <w:left w:val="nil"/>
        <w:bottom w:val="nil"/>
        <w:right w:val="nil"/>
        <w:between w:val="nil"/>
      </w:pBdr>
      <w:tabs>
        <w:tab w:val="center" w:pos="4680"/>
        <w:tab w:val="right" w:pos="9360"/>
      </w:tabs>
      <w:jc w:val="right"/>
    </w:pPr>
    <w:r>
      <w:rPr>
        <w:rFonts w:eastAsia="Arial" w:cs="Arial"/>
        <w:color w:val="000000"/>
        <w:sz w:val="18"/>
        <w:szCs w:val="18"/>
      </w:rPr>
      <w:t xml:space="preserve">Abdulkader </w:t>
    </w:r>
    <w:r w:rsidR="007931DC">
      <w:rPr>
        <w:color w:val="000000"/>
        <w:sz w:val="18"/>
        <w:szCs w:val="18"/>
      </w:rPr>
      <w:fldChar w:fldCharType="begin"/>
    </w:r>
    <w:r w:rsidR="007931DC">
      <w:rPr>
        <w:color w:val="000000"/>
        <w:sz w:val="18"/>
        <w:szCs w:val="18"/>
      </w:rPr>
      <w:instrText>PAGE</w:instrText>
    </w:r>
    <w:r w:rsidR="007931DC">
      <w:rPr>
        <w:color w:val="000000"/>
        <w:sz w:val="18"/>
        <w:szCs w:val="18"/>
      </w:rPr>
      <w:fldChar w:fldCharType="separate"/>
    </w:r>
    <w:r w:rsidR="007931DC">
      <w:rPr>
        <w:color w:val="000000"/>
        <w:sz w:val="18"/>
        <w:szCs w:val="18"/>
      </w:rPr>
      <w:fldChar w:fldCharType="end"/>
    </w:r>
    <w:r w:rsidR="007931DC">
      <w:rPr>
        <w:noProof/>
      </w:rPr>
      <w:drawing>
        <wp:anchor distT="0" distB="0" distL="114300" distR="114300" simplePos="0" relativeHeight="251658240" behindDoc="0" locked="0" layoutInCell="1" hidden="0" allowOverlap="1" wp14:anchorId="34B77F39" wp14:editId="7E986CDE">
          <wp:simplePos x="0" y="0"/>
          <wp:positionH relativeFrom="column">
            <wp:posOffset>-463548</wp:posOffset>
          </wp:positionH>
          <wp:positionV relativeFrom="paragraph">
            <wp:posOffset>-298448</wp:posOffset>
          </wp:positionV>
          <wp:extent cx="1181100" cy="118110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18946" w14:textId="77777777" w:rsidR="00A341B4" w:rsidRDefault="007931DC">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Journal of Information Literacy</w:t>
    </w:r>
    <w:r>
      <w:rPr>
        <w:noProof/>
      </w:rPr>
      <w:drawing>
        <wp:anchor distT="0" distB="0" distL="114300" distR="114300" simplePos="0" relativeHeight="251659264" behindDoc="0" locked="0" layoutInCell="1" hidden="0" allowOverlap="1" wp14:anchorId="38958592" wp14:editId="5B3214DE">
          <wp:simplePos x="0" y="0"/>
          <wp:positionH relativeFrom="column">
            <wp:posOffset>-444498</wp:posOffset>
          </wp:positionH>
          <wp:positionV relativeFrom="paragraph">
            <wp:posOffset>-247648</wp:posOffset>
          </wp:positionV>
          <wp:extent cx="1181100" cy="118110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325C2CAE" w14:textId="7F347EBD" w:rsidR="00A341B4" w:rsidRDefault="22646DF8" w:rsidP="22646DF8">
    <w:pPr>
      <w:pBdr>
        <w:top w:val="nil"/>
        <w:left w:val="nil"/>
        <w:bottom w:val="nil"/>
        <w:right w:val="nil"/>
        <w:between w:val="nil"/>
      </w:pBdr>
      <w:tabs>
        <w:tab w:val="center" w:pos="4513"/>
        <w:tab w:val="right" w:pos="9026"/>
      </w:tabs>
      <w:jc w:val="right"/>
      <w:rPr>
        <w:rFonts w:eastAsia="Arial" w:cs="Arial"/>
        <w:color w:val="000000"/>
      </w:rPr>
    </w:pPr>
    <w:r w:rsidRPr="22646DF8">
      <w:rPr>
        <w:rFonts w:eastAsia="Arial" w:cs="Arial"/>
        <w:color w:val="000000" w:themeColor="text1"/>
      </w:rPr>
      <w:t>Volume 19 Issue 1</w:t>
    </w:r>
  </w:p>
  <w:p w14:paraId="152AD86B" w14:textId="77777777" w:rsidR="00A341B4" w:rsidRDefault="007931DC">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ISSN 1750-5968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867C" w14:textId="77777777" w:rsidR="00A341B4" w:rsidRDefault="00A341B4">
    <w:pPr>
      <w:pBdr>
        <w:top w:val="nil"/>
        <w:left w:val="nil"/>
        <w:bottom w:val="nil"/>
        <w:right w:val="nil"/>
        <w:between w:val="nil"/>
      </w:pBdr>
      <w:tabs>
        <w:tab w:val="center" w:pos="4513"/>
        <w:tab w:val="right" w:pos="9026"/>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FA4CC" w14:textId="54B1D539" w:rsidR="00A341B4" w:rsidRDefault="22646DF8" w:rsidP="22646DF8">
    <w:pPr>
      <w:pBdr>
        <w:top w:val="nil"/>
        <w:left w:val="nil"/>
        <w:bottom w:val="nil"/>
        <w:right w:val="nil"/>
        <w:between w:val="nil"/>
      </w:pBdr>
      <w:tabs>
        <w:tab w:val="center" w:pos="4680"/>
        <w:tab w:val="right" w:pos="9360"/>
      </w:tabs>
      <w:jc w:val="right"/>
      <w:rPr>
        <w:rFonts w:eastAsia="Arial" w:cs="Arial"/>
      </w:rPr>
    </w:pPr>
    <w:r>
      <w:rPr>
        <w:rFonts w:eastAsia="Arial" w:cs="Arial"/>
        <w:color w:val="000000"/>
        <w:sz w:val="18"/>
        <w:szCs w:val="18"/>
      </w:rPr>
      <w:t xml:space="preserve">Abdulkader </w:t>
    </w:r>
    <w:r w:rsidR="007931DC" w:rsidRPr="22646DF8">
      <w:rPr>
        <w:rFonts w:eastAsia="Arial" w:cs="Arial"/>
        <w:noProof/>
        <w:color w:val="000000"/>
        <w:sz w:val="18"/>
        <w:szCs w:val="18"/>
      </w:rPr>
      <w:fldChar w:fldCharType="begin"/>
    </w:r>
    <w:r w:rsidR="007931DC">
      <w:rPr>
        <w:rFonts w:eastAsia="Arial" w:cs="Arial"/>
        <w:color w:val="000000"/>
        <w:sz w:val="18"/>
        <w:szCs w:val="18"/>
      </w:rPr>
      <w:instrText>PAGE</w:instrText>
    </w:r>
    <w:r w:rsidR="007931DC" w:rsidRPr="22646DF8">
      <w:rPr>
        <w:rFonts w:eastAsia="Arial" w:cs="Arial"/>
        <w:color w:val="000000"/>
        <w:sz w:val="18"/>
        <w:szCs w:val="18"/>
      </w:rPr>
      <w:fldChar w:fldCharType="separate"/>
    </w:r>
    <w:r>
      <w:rPr>
        <w:rFonts w:eastAsia="Arial" w:cs="Arial"/>
        <w:noProof/>
        <w:color w:val="000000"/>
        <w:sz w:val="18"/>
        <w:szCs w:val="18"/>
      </w:rPr>
      <w:t>2</w:t>
    </w:r>
    <w:r w:rsidR="007931DC" w:rsidRPr="22646DF8">
      <w:rPr>
        <w:rFonts w:eastAsia="Arial" w:cs="Arial"/>
        <w:noProof/>
        <w:color w:val="000000"/>
        <w:sz w:val="18"/>
        <w:szCs w:val="18"/>
      </w:rPr>
      <w:fldChar w:fldCharType="end"/>
    </w:r>
    <w:r w:rsidR="002F0240">
      <w:rPr>
        <w:rFonts w:eastAsia="Arial" w:cs="Arial"/>
        <w:color w:val="000000"/>
        <w:sz w:val="18"/>
        <w:szCs w:val="18"/>
      </w:rPr>
      <w:br/>
    </w:r>
    <w:r w:rsidR="002F0240">
      <w:rPr>
        <w:rFonts w:eastAsia="Arial" w:cs="Arial"/>
        <w:color w:val="000000"/>
        <w:sz w:val="18"/>
        <w:szCs w:val="18"/>
      </w:rPr>
      <w:br/>
    </w:r>
    <w:r w:rsidR="002F0240">
      <w:rPr>
        <w:rFonts w:eastAsia="Arial" w:cs="Arial"/>
        <w:color w:val="000000"/>
        <w:sz w:val="18"/>
        <w:szCs w:val="18"/>
      </w:rPr>
      <w:br/>
    </w:r>
    <w:r w:rsidR="002F0240">
      <w:rPr>
        <w:rFonts w:eastAsia="Arial" w:cs="Arial"/>
        <w:color w:val="000000"/>
        <w:sz w:val="18"/>
        <w:szCs w:val="18"/>
      </w:rPr>
      <w:br/>
    </w:r>
    <w:r w:rsidR="002F0240">
      <w:rPr>
        <w:rFonts w:eastAsia="Arial" w:cs="Arial"/>
        <w:color w:val="000000"/>
        <w:sz w:val="18"/>
        <w:szCs w:val="18"/>
      </w:rPr>
      <w:br/>
    </w:r>
    <w:r w:rsidR="007931DC">
      <w:rPr>
        <w:noProof/>
      </w:rPr>
      <w:drawing>
        <wp:anchor distT="0" distB="0" distL="114300" distR="114300" simplePos="0" relativeHeight="251660288" behindDoc="0" locked="0" layoutInCell="1" hidden="0" allowOverlap="1" wp14:anchorId="2B5778E5" wp14:editId="55C5A06A">
          <wp:simplePos x="0" y="0"/>
          <wp:positionH relativeFrom="column">
            <wp:posOffset>-463548</wp:posOffset>
          </wp:positionH>
          <wp:positionV relativeFrom="paragraph">
            <wp:posOffset>-252093</wp:posOffset>
          </wp:positionV>
          <wp:extent cx="1008000" cy="1008000"/>
          <wp:effectExtent l="0" t="0" r="0" b="0"/>
          <wp:wrapSquare wrapText="bothSides" distT="0" distB="0" distL="114300" distR="114300"/>
          <wp:docPr id="18914554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8000" cy="1008000"/>
                  </a:xfrm>
                  <a:prstGeom prst="rect">
                    <a:avLst/>
                  </a:prstGeom>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65AD" w14:textId="77777777" w:rsidR="00A341B4" w:rsidRDefault="007931DC">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Journal of Information Literacy</w:t>
    </w:r>
    <w:r>
      <w:rPr>
        <w:noProof/>
      </w:rPr>
      <w:drawing>
        <wp:anchor distT="0" distB="0" distL="114300" distR="114300" simplePos="0" relativeHeight="251661312" behindDoc="0" locked="0" layoutInCell="1" hidden="0" allowOverlap="1" wp14:anchorId="19A7D754" wp14:editId="56FC7CAB">
          <wp:simplePos x="0" y="0"/>
          <wp:positionH relativeFrom="column">
            <wp:posOffset>-444498</wp:posOffset>
          </wp:positionH>
          <wp:positionV relativeFrom="paragraph">
            <wp:posOffset>-247648</wp:posOffset>
          </wp:positionV>
          <wp:extent cx="1181100" cy="1181100"/>
          <wp:effectExtent l="0" t="0" r="0" b="0"/>
          <wp:wrapSquare wrapText="bothSides" distT="0" distB="0" distL="114300" distR="114300"/>
          <wp:docPr id="100620727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30EA8207" w14:textId="77777777" w:rsidR="00A341B4" w:rsidRDefault="007931DC">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Volume XX Issue X</w:t>
    </w:r>
  </w:p>
  <w:p w14:paraId="2F8B1AC4" w14:textId="77777777" w:rsidR="00A341B4" w:rsidRDefault="007931DC">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ISSN 1750-5968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B4"/>
    <w:rsid w:val="00174211"/>
    <w:rsid w:val="00186FFC"/>
    <w:rsid w:val="001947F9"/>
    <w:rsid w:val="00215BEC"/>
    <w:rsid w:val="00250CC6"/>
    <w:rsid w:val="002F0240"/>
    <w:rsid w:val="00323374"/>
    <w:rsid w:val="00372FC5"/>
    <w:rsid w:val="004A00FE"/>
    <w:rsid w:val="004B2109"/>
    <w:rsid w:val="005E2960"/>
    <w:rsid w:val="005F2C5E"/>
    <w:rsid w:val="00672A66"/>
    <w:rsid w:val="006A06C6"/>
    <w:rsid w:val="006F0B16"/>
    <w:rsid w:val="00721E0B"/>
    <w:rsid w:val="0075511B"/>
    <w:rsid w:val="007931DC"/>
    <w:rsid w:val="00865DD6"/>
    <w:rsid w:val="008A01C4"/>
    <w:rsid w:val="008B5BB4"/>
    <w:rsid w:val="009867C4"/>
    <w:rsid w:val="009F7728"/>
    <w:rsid w:val="00A341B4"/>
    <w:rsid w:val="00A34270"/>
    <w:rsid w:val="00BF4407"/>
    <w:rsid w:val="00CE1ADD"/>
    <w:rsid w:val="00D44BDB"/>
    <w:rsid w:val="00DE4C8A"/>
    <w:rsid w:val="0296F63E"/>
    <w:rsid w:val="0442D163"/>
    <w:rsid w:val="046AF5B4"/>
    <w:rsid w:val="04853ADF"/>
    <w:rsid w:val="06366D41"/>
    <w:rsid w:val="076F7DB0"/>
    <w:rsid w:val="085BDBA1"/>
    <w:rsid w:val="0A60B9FF"/>
    <w:rsid w:val="0ABB6685"/>
    <w:rsid w:val="0C9FF936"/>
    <w:rsid w:val="0CEE324F"/>
    <w:rsid w:val="0CFD994A"/>
    <w:rsid w:val="0D42FCB6"/>
    <w:rsid w:val="0DDE3F05"/>
    <w:rsid w:val="0DDFC2DC"/>
    <w:rsid w:val="0EA4BF7C"/>
    <w:rsid w:val="118B8F5B"/>
    <w:rsid w:val="11B601D8"/>
    <w:rsid w:val="11E8B0AF"/>
    <w:rsid w:val="125FE095"/>
    <w:rsid w:val="1350025C"/>
    <w:rsid w:val="13E74BAE"/>
    <w:rsid w:val="149DFC68"/>
    <w:rsid w:val="14B830FE"/>
    <w:rsid w:val="15284672"/>
    <w:rsid w:val="15D9DBF8"/>
    <w:rsid w:val="1646EED2"/>
    <w:rsid w:val="19189E01"/>
    <w:rsid w:val="1B5AF141"/>
    <w:rsid w:val="1BAF57E6"/>
    <w:rsid w:val="1D6AA2BE"/>
    <w:rsid w:val="1E32340F"/>
    <w:rsid w:val="1E86B7F4"/>
    <w:rsid w:val="1EE739FA"/>
    <w:rsid w:val="1FB2CC25"/>
    <w:rsid w:val="20B9E045"/>
    <w:rsid w:val="20E849A1"/>
    <w:rsid w:val="21029B15"/>
    <w:rsid w:val="2158F82F"/>
    <w:rsid w:val="21D1B051"/>
    <w:rsid w:val="22287BA7"/>
    <w:rsid w:val="22646DF8"/>
    <w:rsid w:val="23EED99A"/>
    <w:rsid w:val="253215DB"/>
    <w:rsid w:val="2600908F"/>
    <w:rsid w:val="266F9C60"/>
    <w:rsid w:val="279E5A1B"/>
    <w:rsid w:val="27FBB58C"/>
    <w:rsid w:val="292F6AC1"/>
    <w:rsid w:val="29F9C969"/>
    <w:rsid w:val="2BBE0BA0"/>
    <w:rsid w:val="2C0FA034"/>
    <w:rsid w:val="2D23D9C9"/>
    <w:rsid w:val="2D38CEBF"/>
    <w:rsid w:val="2DFEDBBE"/>
    <w:rsid w:val="2F70A2F9"/>
    <w:rsid w:val="2FFCC7D3"/>
    <w:rsid w:val="302F71DA"/>
    <w:rsid w:val="3141A5B2"/>
    <w:rsid w:val="317CA543"/>
    <w:rsid w:val="317EA855"/>
    <w:rsid w:val="327E9506"/>
    <w:rsid w:val="32D34AE8"/>
    <w:rsid w:val="337AD63D"/>
    <w:rsid w:val="34DE37A1"/>
    <w:rsid w:val="350D4402"/>
    <w:rsid w:val="353281A3"/>
    <w:rsid w:val="36E4A513"/>
    <w:rsid w:val="37174639"/>
    <w:rsid w:val="37882046"/>
    <w:rsid w:val="37D85E72"/>
    <w:rsid w:val="3A2081EB"/>
    <w:rsid w:val="3A3E52FC"/>
    <w:rsid w:val="3A8F02FC"/>
    <w:rsid w:val="3B4A1FAE"/>
    <w:rsid w:val="3B4E5E28"/>
    <w:rsid w:val="3BE25847"/>
    <w:rsid w:val="3C3EB5AB"/>
    <w:rsid w:val="3D3F9DF0"/>
    <w:rsid w:val="3DB8ABD3"/>
    <w:rsid w:val="3E18948F"/>
    <w:rsid w:val="3E326A5C"/>
    <w:rsid w:val="3E73971A"/>
    <w:rsid w:val="403FA2B1"/>
    <w:rsid w:val="41104B29"/>
    <w:rsid w:val="41113A3D"/>
    <w:rsid w:val="4237B2F0"/>
    <w:rsid w:val="42D23B04"/>
    <w:rsid w:val="45680B96"/>
    <w:rsid w:val="45A01BEB"/>
    <w:rsid w:val="45C10E84"/>
    <w:rsid w:val="45E9F1EE"/>
    <w:rsid w:val="4707D95A"/>
    <w:rsid w:val="48F166C9"/>
    <w:rsid w:val="492A12C0"/>
    <w:rsid w:val="497F65DC"/>
    <w:rsid w:val="497FB1C2"/>
    <w:rsid w:val="498DFA2F"/>
    <w:rsid w:val="4A240812"/>
    <w:rsid w:val="4BA70737"/>
    <w:rsid w:val="4FADAD50"/>
    <w:rsid w:val="500CB17D"/>
    <w:rsid w:val="533B3420"/>
    <w:rsid w:val="536C9521"/>
    <w:rsid w:val="53F8C80C"/>
    <w:rsid w:val="55654923"/>
    <w:rsid w:val="58BBA390"/>
    <w:rsid w:val="5A132DE4"/>
    <w:rsid w:val="5AEF2B9F"/>
    <w:rsid w:val="5B4AFC2A"/>
    <w:rsid w:val="5BADFF57"/>
    <w:rsid w:val="5C0577B8"/>
    <w:rsid w:val="5C5B51D9"/>
    <w:rsid w:val="5CE5EDF8"/>
    <w:rsid w:val="5E87199E"/>
    <w:rsid w:val="5EC3DD72"/>
    <w:rsid w:val="5FFF79EA"/>
    <w:rsid w:val="60DEE78E"/>
    <w:rsid w:val="60F33926"/>
    <w:rsid w:val="6141B2B3"/>
    <w:rsid w:val="6195608C"/>
    <w:rsid w:val="62788DBE"/>
    <w:rsid w:val="63EDFB60"/>
    <w:rsid w:val="6499349F"/>
    <w:rsid w:val="65225F0C"/>
    <w:rsid w:val="65715656"/>
    <w:rsid w:val="65C729CE"/>
    <w:rsid w:val="6755B83A"/>
    <w:rsid w:val="67694C39"/>
    <w:rsid w:val="67F2B42C"/>
    <w:rsid w:val="69A4362A"/>
    <w:rsid w:val="6AF8FCE9"/>
    <w:rsid w:val="6BD568C3"/>
    <w:rsid w:val="6C82EA1F"/>
    <w:rsid w:val="6D3472E6"/>
    <w:rsid w:val="6DA5AFE9"/>
    <w:rsid w:val="6DE1ECD3"/>
    <w:rsid w:val="6E37D9D1"/>
    <w:rsid w:val="6E794E9B"/>
    <w:rsid w:val="6F803178"/>
    <w:rsid w:val="71A20DE3"/>
    <w:rsid w:val="7298FB95"/>
    <w:rsid w:val="730E6D44"/>
    <w:rsid w:val="736340B9"/>
    <w:rsid w:val="73E39B16"/>
    <w:rsid w:val="74320DE2"/>
    <w:rsid w:val="7697C101"/>
    <w:rsid w:val="77C8B0DC"/>
    <w:rsid w:val="780E0057"/>
    <w:rsid w:val="79D1FE03"/>
    <w:rsid w:val="7AA0DBF8"/>
    <w:rsid w:val="7AEAC733"/>
    <w:rsid w:val="7CE7A746"/>
    <w:rsid w:val="7E026094"/>
    <w:rsid w:val="7F7D2113"/>
    <w:rsid w:val="7FCECA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13C0"/>
  <w15:docId w15:val="{48DD5C8B-72B3-45A7-B671-CDC20DE7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728"/>
    <w:pPr>
      <w:spacing w:after="0" w:line="240" w:lineRule="auto"/>
    </w:pPr>
    <w:rPr>
      <w:rFonts w:ascii="Arial" w:hAnsi="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22646DF8"/>
    <w:rPr>
      <w:color w:val="0000FF"/>
      <w:u w:val="single"/>
    </w:rPr>
  </w:style>
  <w:style w:type="character" w:customStyle="1" w:styleId="Hyperlink0">
    <w:name w:val="Hyperlink.0"/>
    <w:basedOn w:val="DefaultParagraphFont"/>
    <w:uiPriority w:val="1"/>
    <w:rsid w:val="22646DF8"/>
    <w:rPr>
      <w:rFonts w:ascii="Arial" w:eastAsia="Arial" w:hAnsi="Arial" w:cs="Arial"/>
      <w:color w:val="1155CC"/>
      <w:u w:val="single"/>
    </w:rPr>
  </w:style>
  <w:style w:type="character" w:customStyle="1" w:styleId="None">
    <w:name w:val="None"/>
    <w:basedOn w:val="DefaultParagraphFont"/>
    <w:uiPriority w:val="1"/>
    <w:rsid w:val="22646DF8"/>
    <w:rPr>
      <w:rFonts w:ascii="Times New Roman" w:eastAsia="Arial Unicode MS" w:hAnsi="Times New Roman" w:cs="Times New Roman"/>
    </w:rPr>
  </w:style>
  <w:style w:type="character" w:styleId="UnresolvedMention">
    <w:name w:val="Unresolved Mention"/>
    <w:basedOn w:val="DefaultParagraphFont"/>
    <w:uiPriority w:val="99"/>
    <w:semiHidden/>
    <w:unhideWhenUsed/>
    <w:rsid w:val="009F7728"/>
    <w:rPr>
      <w:color w:val="605E5C"/>
      <w:shd w:val="clear" w:color="auto" w:fill="E1DFDD"/>
    </w:rPr>
  </w:style>
  <w:style w:type="character" w:styleId="FollowedHyperlink">
    <w:name w:val="FollowedHyperlink"/>
    <w:basedOn w:val="DefaultParagraphFont"/>
    <w:uiPriority w:val="99"/>
    <w:semiHidden/>
    <w:unhideWhenUsed/>
    <w:rsid w:val="009F77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abdulkader5352@gmail.com" TargetMode="External"/><Relationship Id="rId18" Type="http://schemas.openxmlformats.org/officeDocument/2006/relationships/header" Target="header5.xml"/><Relationship Id="rId3" Type="http://schemas.openxmlformats.org/officeDocument/2006/relationships/webSettings" Target="webSettings.xml"/><Relationship Id="rId21" Type="http://schemas.openxmlformats.org/officeDocument/2006/relationships/header" Target="header6.xml"/><Relationship Id="rId7" Type="http://schemas.openxmlformats.org/officeDocument/2006/relationships/header" Target="header2.xml"/><Relationship Id="rId12" Type="http://schemas.openxmlformats.org/officeDocument/2006/relationships/hyperlink" Target="http://dx.doi.org/10.11645/19.1.705" TargetMode="External"/><Relationship Id="rId17"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hyperlink" Target="https://crl.acrl.org/index.php/crl/article/view/16606" TargetMode="External"/><Relationship Id="rId20" Type="http://schemas.openxmlformats.org/officeDocument/2006/relationships/footer" Target="footer5.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10.5860/crln.80.8.494" TargetMode="Externa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www.ala.org/acrl/standards/ilframework" TargetMode="External"/><Relationship Id="rId22" Type="http://schemas.openxmlformats.org/officeDocument/2006/relationships/footer" Target="footer6.xml"/></Relationships>
</file>

<file path=word/_rels/footer3.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1374</Words>
  <Characters>7944</Characters>
  <Application>Microsoft Office Word</Application>
  <DocSecurity>0</DocSecurity>
  <Lines>144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Edwards, Amber</cp:lastModifiedBy>
  <cp:revision>20</cp:revision>
  <dcterms:created xsi:type="dcterms:W3CDTF">2025-04-07T12:14:00Z</dcterms:created>
  <dcterms:modified xsi:type="dcterms:W3CDTF">2025-06-02T21:20:00Z</dcterms:modified>
</cp:coreProperties>
</file>