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6270" w14:textId="77777777" w:rsidR="0056765F" w:rsidRDefault="0056765F">
      <w:pPr>
        <w:rPr>
          <w:rFonts w:ascii="Arial" w:eastAsia="Arial" w:hAnsi="Arial" w:cs="Arial"/>
        </w:rPr>
      </w:pPr>
    </w:p>
    <w:p w14:paraId="3E1F2A8B" w14:textId="77777777" w:rsidR="0056765F" w:rsidRDefault="0056765F">
      <w:pPr>
        <w:spacing w:after="0"/>
        <w:jc w:val="both"/>
        <w:rPr>
          <w:rFonts w:ascii="Arial" w:eastAsia="Arial" w:hAnsi="Arial" w:cs="Arial"/>
          <w:b/>
          <w:color w:val="000000"/>
          <w:sz w:val="28"/>
          <w:szCs w:val="28"/>
        </w:rPr>
      </w:pPr>
    </w:p>
    <w:p w14:paraId="4CAFF7C1" w14:textId="5CBA917A" w:rsidR="0056765F" w:rsidRDefault="00AC23BA" w:rsidP="00AC23BA">
      <w:pPr>
        <w:spacing w:after="0"/>
        <w:rPr>
          <w:rFonts w:ascii="Arial" w:eastAsia="Arial" w:hAnsi="Arial" w:cs="Arial"/>
          <w:b/>
          <w:color w:val="000000"/>
          <w:sz w:val="28"/>
          <w:szCs w:val="28"/>
        </w:rPr>
      </w:pPr>
      <w:r w:rsidRPr="001240C6">
        <w:rPr>
          <w:rFonts w:ascii="Arial" w:eastAsia="Arial" w:hAnsi="Arial" w:cs="Arial"/>
          <w:b/>
          <w:color w:val="000000"/>
          <w:sz w:val="28"/>
          <w:szCs w:val="28"/>
        </w:rPr>
        <w:t>Anniversary of IL Special Issue 2024</w:t>
      </w:r>
    </w:p>
    <w:p w14:paraId="15C0781D" w14:textId="77777777" w:rsidR="0056765F" w:rsidRPr="00CC3D40" w:rsidRDefault="0056765F">
      <w:pPr>
        <w:spacing w:after="0"/>
        <w:rPr>
          <w:rFonts w:ascii="Arial" w:eastAsia="Arial" w:hAnsi="Arial" w:cs="Arial"/>
          <w:b/>
          <w:color w:val="000000"/>
        </w:rPr>
      </w:pPr>
    </w:p>
    <w:p w14:paraId="6F3AC58A" w14:textId="77777777" w:rsidR="00AC23BA" w:rsidRPr="00AC23BA" w:rsidRDefault="00AC23BA" w:rsidP="00CC3D40">
      <w:pPr>
        <w:spacing w:after="200" w:line="240" w:lineRule="auto"/>
        <w:rPr>
          <w:rFonts w:ascii="Arial" w:eastAsia="Arial" w:hAnsi="Arial" w:cs="Arial"/>
          <w:b/>
          <w:color w:val="000000"/>
          <w:sz w:val="36"/>
          <w:szCs w:val="36"/>
        </w:rPr>
      </w:pPr>
      <w:r w:rsidRPr="00AC23BA">
        <w:rPr>
          <w:rFonts w:ascii="Arial" w:eastAsia="Arial" w:hAnsi="Arial" w:cs="Arial"/>
          <w:b/>
          <w:color w:val="000000"/>
          <w:sz w:val="36"/>
          <w:szCs w:val="36"/>
        </w:rPr>
        <w:t>The negative spaces of information literacy: An alternative research agenda</w:t>
      </w:r>
    </w:p>
    <w:p w14:paraId="2EC5215B" w14:textId="21852EFD" w:rsidR="0056765F" w:rsidRDefault="00000000">
      <w:pPr>
        <w:keepNext/>
        <w:keepLines/>
        <w:pBdr>
          <w:top w:val="nil"/>
          <w:left w:val="nil"/>
          <w:bottom w:val="nil"/>
          <w:right w:val="nil"/>
          <w:between w:val="nil"/>
        </w:pBdr>
        <w:spacing w:after="0" w:line="240" w:lineRule="auto"/>
        <w:rPr>
          <w:rFonts w:ascii="Arial" w:eastAsia="Arial" w:hAnsi="Arial" w:cs="Arial"/>
          <w:b/>
          <w:sz w:val="24"/>
          <w:szCs w:val="24"/>
        </w:rPr>
      </w:pPr>
      <w:hyperlink r:id="rId6" w:history="1">
        <w:r w:rsidR="00AC23BA" w:rsidRPr="0006123E">
          <w:rPr>
            <w:rStyle w:val="Hyperlink"/>
            <w:rFonts w:ascii="Arial" w:eastAsia="Arial" w:hAnsi="Arial" w:cs="Arial"/>
            <w:b/>
            <w:sz w:val="24"/>
            <w:szCs w:val="24"/>
          </w:rPr>
          <w:t>http://dx.doi.org/10.11645/18.1.598</w:t>
        </w:r>
      </w:hyperlink>
      <w:r w:rsidR="00AC23BA">
        <w:rPr>
          <w:rFonts w:ascii="Arial" w:eastAsia="Arial" w:hAnsi="Arial" w:cs="Arial"/>
          <w:b/>
          <w:sz w:val="24"/>
          <w:szCs w:val="24"/>
        </w:rPr>
        <w:t xml:space="preserve"> </w:t>
      </w:r>
    </w:p>
    <w:p w14:paraId="5B9D6870" w14:textId="77777777" w:rsidR="0056765F" w:rsidRDefault="0056765F">
      <w:pPr>
        <w:keepNext/>
        <w:keepLines/>
        <w:pBdr>
          <w:top w:val="nil"/>
          <w:left w:val="nil"/>
          <w:bottom w:val="nil"/>
          <w:right w:val="nil"/>
          <w:between w:val="nil"/>
        </w:pBdr>
        <w:spacing w:after="0" w:line="240" w:lineRule="auto"/>
        <w:rPr>
          <w:rFonts w:ascii="Arial" w:eastAsia="Arial" w:hAnsi="Arial" w:cs="Arial"/>
          <w:b/>
          <w:color w:val="000000"/>
        </w:rPr>
      </w:pPr>
    </w:p>
    <w:p w14:paraId="40BC7C5C" w14:textId="1B5487A6" w:rsidR="0056765F" w:rsidRDefault="00AC23BA">
      <w:pPr>
        <w:keepNext/>
        <w:keepLines/>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Alison Hicks</w:t>
      </w:r>
    </w:p>
    <w:p w14:paraId="19FBAFF0" w14:textId="5214557D" w:rsidR="0056765F" w:rsidRDefault="00AC23BA">
      <w:pPr>
        <w:keepNext/>
        <w:keepLines/>
        <w:pBdr>
          <w:top w:val="nil"/>
          <w:left w:val="nil"/>
          <w:bottom w:val="nil"/>
          <w:right w:val="nil"/>
          <w:between w:val="nil"/>
        </w:pBdr>
        <w:spacing w:after="0" w:line="240" w:lineRule="auto"/>
        <w:rPr>
          <w:rFonts w:ascii="Arial" w:eastAsia="Arial" w:hAnsi="Arial" w:cs="Arial"/>
          <w:color w:val="000000"/>
        </w:rPr>
      </w:pPr>
      <w:r w:rsidRPr="00AC23BA">
        <w:rPr>
          <w:rFonts w:ascii="Arial" w:eastAsia="Arial" w:hAnsi="Arial" w:cs="Arial"/>
          <w:color w:val="000000"/>
        </w:rPr>
        <w:t>Lecturer in Library &amp; Information Studies</w:t>
      </w:r>
      <w:r>
        <w:rPr>
          <w:rFonts w:ascii="Arial" w:eastAsia="Arial" w:hAnsi="Arial" w:cs="Arial"/>
          <w:color w:val="000000"/>
        </w:rPr>
        <w:t xml:space="preserve">, University College London. Email: </w:t>
      </w:r>
      <w:hyperlink r:id="rId7" w:history="1">
        <w:r w:rsidR="004A5DEB" w:rsidRPr="004A5DEB">
          <w:rPr>
            <w:rStyle w:val="Hyperlink"/>
            <w:rFonts w:ascii="Arial" w:eastAsia="Arial" w:hAnsi="Arial" w:cs="Arial"/>
          </w:rPr>
          <w:t>a.hicks@ucl.ac.uk</w:t>
        </w:r>
      </w:hyperlink>
      <w:r>
        <w:rPr>
          <w:rFonts w:ascii="Arial" w:eastAsia="Arial" w:hAnsi="Arial" w:cs="Arial"/>
          <w:color w:val="000000"/>
        </w:rPr>
        <w:t>. ORCID</w:t>
      </w:r>
      <w:r w:rsidR="004A5DEB">
        <w:rPr>
          <w:rFonts w:ascii="Arial" w:eastAsia="Arial" w:hAnsi="Arial" w:cs="Arial"/>
          <w:color w:val="000000"/>
        </w:rPr>
        <w:t xml:space="preserve">: </w:t>
      </w:r>
      <w:hyperlink r:id="rId8" w:history="1">
        <w:r w:rsidR="004A5DEB" w:rsidRPr="004A5DEB">
          <w:rPr>
            <w:rStyle w:val="Hyperlink"/>
            <w:rFonts w:ascii="Arial" w:eastAsia="Arial" w:hAnsi="Arial" w:cs="Arial"/>
          </w:rPr>
          <w:t>0000-0002-2124-1730</w:t>
        </w:r>
      </w:hyperlink>
      <w:r>
        <w:rPr>
          <w:rFonts w:ascii="Arial" w:eastAsia="Arial" w:hAnsi="Arial" w:cs="Arial"/>
          <w:color w:val="000000"/>
        </w:rPr>
        <w:t xml:space="preserve">. </w:t>
      </w:r>
    </w:p>
    <w:p w14:paraId="67994DD8" w14:textId="77777777" w:rsidR="0056765F" w:rsidRDefault="0056765F">
      <w:pPr>
        <w:keepNext/>
        <w:keepLines/>
        <w:pBdr>
          <w:top w:val="nil"/>
          <w:left w:val="nil"/>
          <w:bottom w:val="nil"/>
          <w:right w:val="nil"/>
          <w:between w:val="nil"/>
        </w:pBdr>
        <w:spacing w:after="0" w:line="240" w:lineRule="auto"/>
        <w:rPr>
          <w:color w:val="000000"/>
        </w:rPr>
      </w:pPr>
    </w:p>
    <w:p w14:paraId="6E37A40F" w14:textId="77777777" w:rsidR="0056765F" w:rsidRDefault="00000000">
      <w:pPr>
        <w:keepNext/>
        <w:keepLines/>
        <w:pBdr>
          <w:top w:val="nil"/>
          <w:left w:val="nil"/>
          <w:bottom w:val="nil"/>
          <w:right w:val="nil"/>
          <w:between w:val="nil"/>
        </w:pBdr>
        <w:spacing w:after="200" w:line="240" w:lineRule="auto"/>
        <w:rPr>
          <w:b/>
          <w:color w:val="000000"/>
          <w:sz w:val="28"/>
          <w:szCs w:val="28"/>
        </w:rPr>
      </w:pPr>
      <w:r>
        <w:rPr>
          <w:rFonts w:ascii="Arial" w:eastAsia="Arial" w:hAnsi="Arial" w:cs="Arial"/>
          <w:b/>
          <w:color w:val="000000"/>
          <w:sz w:val="28"/>
          <w:szCs w:val="28"/>
        </w:rPr>
        <w:t>Abstract</w:t>
      </w:r>
    </w:p>
    <w:p w14:paraId="2A049F7D" w14:textId="657E7448" w:rsidR="0056765F" w:rsidRDefault="00AC23BA" w:rsidP="0041048B">
      <w:pPr>
        <w:spacing w:line="240" w:lineRule="auto"/>
      </w:pPr>
      <w:r w:rsidRPr="00AC23BA">
        <w:rPr>
          <w:rFonts w:ascii="Arial" w:eastAsia="Arial" w:hAnsi="Arial" w:cs="Arial"/>
          <w:color w:val="000000"/>
        </w:rPr>
        <w:t>Suggestions that information literacy</w:t>
      </w:r>
      <w:r w:rsidR="00246E4D">
        <w:rPr>
          <w:rFonts w:ascii="Arial" w:eastAsia="Arial" w:hAnsi="Arial" w:cs="Arial"/>
          <w:color w:val="000000"/>
        </w:rPr>
        <w:t xml:space="preserve"> (IL)</w:t>
      </w:r>
      <w:r w:rsidRPr="00AC23BA">
        <w:rPr>
          <w:rFonts w:ascii="Arial" w:eastAsia="Arial" w:hAnsi="Arial" w:cs="Arial"/>
          <w:color w:val="000000"/>
        </w:rPr>
        <w:t xml:space="preserve"> is being employed in subversive or unorthodox activities, including criminal or anti-democratic aims, have largely been dismissed as evidence for the need for more </w:t>
      </w:r>
      <w:r w:rsidR="00246E4D">
        <w:rPr>
          <w:rFonts w:ascii="Arial" w:eastAsia="Arial" w:hAnsi="Arial" w:cs="Arial"/>
          <w:color w:val="000000"/>
        </w:rPr>
        <w:t>IL</w:t>
      </w:r>
      <w:r w:rsidRPr="00AC23BA">
        <w:rPr>
          <w:rFonts w:ascii="Arial" w:eastAsia="Arial" w:hAnsi="Arial" w:cs="Arial"/>
          <w:color w:val="000000"/>
        </w:rPr>
        <w:t xml:space="preserve"> instruction. Possible solutions to situations in which librarian-promoted </w:t>
      </w:r>
      <w:r w:rsidR="00246E4D">
        <w:rPr>
          <w:rFonts w:ascii="Arial" w:eastAsia="Arial" w:hAnsi="Arial" w:cs="Arial"/>
          <w:color w:val="000000"/>
        </w:rPr>
        <w:t>IL</w:t>
      </w:r>
      <w:r w:rsidRPr="00AC23BA">
        <w:rPr>
          <w:rFonts w:ascii="Arial" w:eastAsia="Arial" w:hAnsi="Arial" w:cs="Arial"/>
          <w:color w:val="000000"/>
        </w:rPr>
        <w:t xml:space="preserve"> skills advance subversive activities, which include a renewed focus on standardisation or virtue epistemology, introduce additional issues, such as whose values would prevail. In contrast, engagement with </w:t>
      </w:r>
      <w:r w:rsidR="00246E4D">
        <w:rPr>
          <w:rFonts w:ascii="Arial" w:eastAsia="Arial" w:hAnsi="Arial" w:cs="Arial"/>
          <w:color w:val="000000"/>
        </w:rPr>
        <w:t>IL</w:t>
      </w:r>
      <w:r w:rsidRPr="00AC23BA">
        <w:rPr>
          <w:rFonts w:ascii="Arial" w:eastAsia="Arial" w:hAnsi="Arial" w:cs="Arial"/>
          <w:color w:val="000000"/>
        </w:rPr>
        <w:t>’s negative space, a design term that refers to the aspects of a composition that surround the main focal object, provides an opportunity to learn about what has been obscured through our focus on more socially acceptable goals</w:t>
      </w:r>
      <w:r w:rsidR="00246E4D">
        <w:rPr>
          <w:rFonts w:ascii="Arial" w:eastAsia="Arial" w:hAnsi="Arial" w:cs="Arial"/>
          <w:color w:val="000000"/>
        </w:rPr>
        <w:t xml:space="preserve"> —</w:t>
      </w:r>
      <w:r w:rsidRPr="00AC23BA">
        <w:rPr>
          <w:rFonts w:ascii="Arial" w:eastAsia="Arial" w:hAnsi="Arial" w:cs="Arial"/>
          <w:color w:val="000000"/>
        </w:rPr>
        <w:t xml:space="preserve"> and develop a richer, more responsive understanding of practice.      </w:t>
      </w:r>
    </w:p>
    <w:p w14:paraId="0E6750FC" w14:textId="77777777" w:rsidR="0056765F" w:rsidRDefault="00000000">
      <w:pPr>
        <w:spacing w:after="0"/>
        <w:rPr>
          <w:rFonts w:ascii="Arial" w:eastAsia="Arial" w:hAnsi="Arial" w:cs="Arial"/>
          <w:b/>
        </w:rPr>
      </w:pPr>
      <w:r>
        <w:rPr>
          <w:rFonts w:ascii="Arial" w:eastAsia="Arial" w:hAnsi="Arial" w:cs="Arial"/>
          <w:b/>
        </w:rPr>
        <w:t>Keywords</w:t>
      </w:r>
    </w:p>
    <w:p w14:paraId="2C9A8D78" w14:textId="30BFBC21" w:rsidR="0056765F" w:rsidRDefault="00AC23BA" w:rsidP="003F14B8">
      <w:pPr>
        <w:pBdr>
          <w:top w:val="nil"/>
          <w:left w:val="nil"/>
          <w:bottom w:val="nil"/>
          <w:right w:val="nil"/>
          <w:between w:val="nil"/>
        </w:pBdr>
        <w:spacing w:after="120" w:line="240" w:lineRule="auto"/>
        <w:rPr>
          <w:color w:val="000000"/>
        </w:rPr>
      </w:pPr>
      <w:r>
        <w:rPr>
          <w:rFonts w:ascii="Arial" w:eastAsia="Arial" w:hAnsi="Arial" w:cs="Arial"/>
          <w:color w:val="000000"/>
        </w:rPr>
        <w:t>anti-establishment; democracy; information literacy; negative space</w:t>
      </w:r>
    </w:p>
    <w:p w14:paraId="4031F7BB" w14:textId="77777777" w:rsidR="0056765F" w:rsidRDefault="007A1740">
      <w:pPr>
        <w:keepNext/>
        <w:keepLines/>
        <w:pBdr>
          <w:top w:val="nil"/>
          <w:left w:val="nil"/>
          <w:bottom w:val="nil"/>
          <w:right w:val="nil"/>
          <w:between w:val="nil"/>
        </w:pBdr>
        <w:spacing w:after="200" w:line="240" w:lineRule="auto"/>
        <w:rPr>
          <w:rFonts w:ascii="Arial" w:eastAsia="Arial" w:hAnsi="Arial" w:cs="Arial"/>
          <w:b/>
          <w:color w:val="000000"/>
          <w:sz w:val="28"/>
          <w:szCs w:val="28"/>
        </w:rPr>
      </w:pPr>
      <w:r>
        <w:rPr>
          <w:noProof/>
        </w:rPr>
        <w:pict w14:anchorId="0D8D4811">
          <v:rect id="_x0000_i1025" alt="" style="width:468pt;height:.05pt;mso-width-percent:0;mso-height-percent:0;mso-width-percent:0;mso-height-percent:0" o:hralign="center" o:hrstd="t" o:hr="t" fillcolor="#a0a0a0" stroked="f"/>
        </w:pict>
      </w:r>
    </w:p>
    <w:p w14:paraId="57F9912E" w14:textId="7FE92CF0" w:rsidR="0056765F" w:rsidRDefault="004A5DEB">
      <w:pPr>
        <w:keepNext/>
        <w:keepLines/>
        <w:pBdr>
          <w:top w:val="nil"/>
          <w:left w:val="nil"/>
          <w:bottom w:val="nil"/>
          <w:right w:val="nil"/>
          <w:between w:val="nil"/>
        </w:pBdr>
        <w:spacing w:after="200" w:line="240" w:lineRule="auto"/>
        <w:rPr>
          <w:b/>
          <w:color w:val="000000"/>
          <w:sz w:val="28"/>
          <w:szCs w:val="28"/>
        </w:rPr>
      </w:pPr>
      <w:r>
        <w:rPr>
          <w:rFonts w:ascii="Arial" w:eastAsia="Arial" w:hAnsi="Arial" w:cs="Arial"/>
          <w:b/>
          <w:color w:val="000000"/>
          <w:sz w:val="28"/>
          <w:szCs w:val="28"/>
        </w:rPr>
        <w:t>Introduction</w:t>
      </w:r>
    </w:p>
    <w:p w14:paraId="3C4139C0" w14:textId="66F7085C" w:rsidR="004A5DEB" w:rsidRPr="004A5DEB" w:rsidRDefault="004A5DEB" w:rsidP="0041048B">
      <w:pPr>
        <w:spacing w:after="240" w:line="240" w:lineRule="auto"/>
        <w:rPr>
          <w:rFonts w:ascii="Arial" w:hAnsi="Arial" w:cs="Arial"/>
        </w:rPr>
      </w:pPr>
      <w:r w:rsidRPr="004A5DEB">
        <w:rPr>
          <w:rFonts w:ascii="Arial" w:hAnsi="Arial" w:cs="Arial"/>
        </w:rPr>
        <w:t xml:space="preserve">When Paul Zurkowski (1974), Scott Simonds (1974) and other knowledge workers were marshalling their respective conceptualisations of information and health literacy in the 1970s, the idea of being literate was imagined in </w:t>
      </w:r>
      <w:r w:rsidR="00EB545C">
        <w:rPr>
          <w:rFonts w:ascii="Arial" w:hAnsi="Arial" w:cs="Arial"/>
        </w:rPr>
        <w:t xml:space="preserve">uniquely </w:t>
      </w:r>
      <w:r w:rsidRPr="004A5DEB">
        <w:rPr>
          <w:rFonts w:ascii="Arial" w:hAnsi="Arial" w:cs="Arial"/>
        </w:rPr>
        <w:t xml:space="preserve">glowing terms. Influenced by the United States’ national education agenda, which positioned literacy as the means through which the country would consolidate national security and global </w:t>
      </w:r>
      <w:r w:rsidR="00246E4D">
        <w:rPr>
          <w:rFonts w:ascii="Arial" w:hAnsi="Arial" w:cs="Arial"/>
        </w:rPr>
        <w:t>competitiveness</w:t>
      </w:r>
      <w:r w:rsidR="00246E4D" w:rsidRPr="004A5DEB">
        <w:rPr>
          <w:rFonts w:ascii="Arial" w:hAnsi="Arial" w:cs="Arial"/>
        </w:rPr>
        <w:t xml:space="preserve"> </w:t>
      </w:r>
      <w:r w:rsidRPr="004A5DEB">
        <w:rPr>
          <w:rFonts w:ascii="Arial" w:hAnsi="Arial" w:cs="Arial"/>
        </w:rPr>
        <w:t xml:space="preserve">(Brandt, 2004), literacy was credited with creating a fitter and more responsive workforce for the information age. Since then, </w:t>
      </w:r>
      <w:r w:rsidR="00246E4D">
        <w:rPr>
          <w:rFonts w:ascii="Arial" w:hAnsi="Arial" w:cs="Arial"/>
        </w:rPr>
        <w:t>IL</w:t>
      </w:r>
      <w:r w:rsidRPr="004A5DEB">
        <w:rPr>
          <w:rFonts w:ascii="Arial" w:hAnsi="Arial" w:cs="Arial"/>
        </w:rPr>
        <w:t xml:space="preserve"> has been variously linked with other beneficial outcomes, including improved academic performance (e.g., Rockman, 2002), the creation of </w:t>
      </w:r>
      <w:r w:rsidR="00246E4D" w:rsidRPr="004A5DEB">
        <w:rPr>
          <w:rFonts w:ascii="Arial" w:hAnsi="Arial" w:cs="Arial"/>
        </w:rPr>
        <w:t xml:space="preserve">wealth (e.g. </w:t>
      </w:r>
      <w:proofErr w:type="spellStart"/>
      <w:r w:rsidR="00246E4D" w:rsidRPr="004A5DEB">
        <w:rPr>
          <w:rFonts w:ascii="Arial" w:hAnsi="Arial" w:cs="Arial"/>
          <w:color w:val="222222"/>
        </w:rPr>
        <w:t>Pilerot</w:t>
      </w:r>
      <w:proofErr w:type="spellEnd"/>
      <w:r w:rsidR="00246E4D" w:rsidRPr="004A5DEB">
        <w:rPr>
          <w:rFonts w:ascii="Arial" w:hAnsi="Arial" w:cs="Arial"/>
          <w:color w:val="222222"/>
        </w:rPr>
        <w:t xml:space="preserve"> &amp; Lindberg, 2011),</w:t>
      </w:r>
    </w:p>
    <w:p w14:paraId="76FF44D3" w14:textId="77777777" w:rsidR="0056765F" w:rsidRPr="004A5DEB" w:rsidRDefault="0056765F" w:rsidP="0041048B">
      <w:pPr>
        <w:spacing w:after="240" w:line="240" w:lineRule="auto"/>
        <w:rPr>
          <w:rFonts w:ascii="Arial" w:eastAsia="Arial" w:hAnsi="Arial" w:cs="Arial"/>
        </w:rPr>
        <w:sectPr w:rsidR="0056765F" w:rsidRPr="004A5DEB" w:rsidSect="00465689">
          <w:headerReference w:type="default" r:id="rId9"/>
          <w:footerReference w:type="default" r:id="rId10"/>
          <w:headerReference w:type="first" r:id="rId11"/>
          <w:footerReference w:type="first" r:id="rId12"/>
          <w:pgSz w:w="12240" w:h="15840"/>
          <w:pgMar w:top="1440" w:right="1440" w:bottom="1440" w:left="1440" w:header="720" w:footer="907" w:gutter="0"/>
          <w:pgNumType w:start="123"/>
          <w:cols w:space="720"/>
          <w:titlePg/>
        </w:sectPr>
      </w:pPr>
    </w:p>
    <w:p w14:paraId="35D1376A" w14:textId="46860ED5" w:rsidR="0056765F" w:rsidRPr="0041048B" w:rsidRDefault="004A5DEB" w:rsidP="0041048B">
      <w:pPr>
        <w:pBdr>
          <w:top w:val="nil"/>
          <w:left w:val="nil"/>
          <w:bottom w:val="nil"/>
          <w:right w:val="nil"/>
          <w:between w:val="nil"/>
        </w:pBdr>
        <w:spacing w:after="240" w:line="240" w:lineRule="auto"/>
        <w:rPr>
          <w:rFonts w:ascii="Arial" w:eastAsia="Arial" w:hAnsi="Arial" w:cs="Arial"/>
          <w:color w:val="000000"/>
        </w:rPr>
      </w:pPr>
      <w:r w:rsidRPr="004A5DEB">
        <w:rPr>
          <w:rFonts w:ascii="Arial" w:hAnsi="Arial" w:cs="Arial"/>
        </w:rPr>
        <w:lastRenderedPageBreak/>
        <w:t xml:space="preserve">and more recently, social justice-oriented action (e.g. </w:t>
      </w:r>
      <w:proofErr w:type="spellStart"/>
      <w:r w:rsidRPr="004A5DEB">
        <w:rPr>
          <w:rFonts w:ascii="Arial" w:hAnsi="Arial" w:cs="Arial"/>
        </w:rPr>
        <w:t>Tewell</w:t>
      </w:r>
      <w:proofErr w:type="spellEnd"/>
      <w:r w:rsidRPr="004A5DEB">
        <w:rPr>
          <w:rFonts w:ascii="Arial" w:hAnsi="Arial" w:cs="Arial"/>
        </w:rPr>
        <w:t xml:space="preserve">, 2015). These studies have resulted in the positioning of </w:t>
      </w:r>
      <w:r w:rsidR="00246E4D">
        <w:rPr>
          <w:rFonts w:ascii="Arial" w:hAnsi="Arial" w:cs="Arial"/>
        </w:rPr>
        <w:t>IL</w:t>
      </w:r>
      <w:r w:rsidRPr="004A5DEB">
        <w:rPr>
          <w:rFonts w:ascii="Arial" w:hAnsi="Arial" w:cs="Arial"/>
        </w:rPr>
        <w:t xml:space="preserve"> as an inherent “moral good” (Hicks, Lloyd </w:t>
      </w:r>
      <w:r w:rsidRPr="00165018">
        <w:rPr>
          <w:rFonts w:ascii="Arial" w:hAnsi="Arial" w:cs="Arial"/>
        </w:rPr>
        <w:t xml:space="preserve">&amp; </w:t>
      </w:r>
      <w:proofErr w:type="spellStart"/>
      <w:r w:rsidRPr="00165018">
        <w:rPr>
          <w:rFonts w:ascii="Arial" w:hAnsi="Arial" w:cs="Arial"/>
        </w:rPr>
        <w:t>Pilerot</w:t>
      </w:r>
      <w:proofErr w:type="spellEnd"/>
      <w:r w:rsidRPr="00165018">
        <w:rPr>
          <w:rFonts w:ascii="Arial" w:hAnsi="Arial" w:cs="Arial"/>
        </w:rPr>
        <w:t>,</w:t>
      </w:r>
      <w:r w:rsidRPr="004A5DEB">
        <w:rPr>
          <w:rFonts w:ascii="Arial" w:hAnsi="Arial" w:cs="Arial"/>
        </w:rPr>
        <w:t xml:space="preserve"> 2023) that </w:t>
      </w:r>
      <w:r w:rsidRPr="0041048B">
        <w:rPr>
          <w:rFonts w:ascii="Arial" w:hAnsi="Arial" w:cs="Arial"/>
        </w:rPr>
        <w:t>will “autonomously” (Street, 2003) lead to social change.</w:t>
      </w:r>
    </w:p>
    <w:p w14:paraId="3ABD3051" w14:textId="2E089202" w:rsidR="004A5DEB" w:rsidRPr="0041048B" w:rsidRDefault="004A5DEB" w:rsidP="0041048B">
      <w:pPr>
        <w:spacing w:after="240" w:line="240" w:lineRule="auto"/>
        <w:rPr>
          <w:rFonts w:ascii="Arial" w:hAnsi="Arial" w:cs="Arial"/>
          <w:color w:val="222222"/>
        </w:rPr>
      </w:pPr>
      <w:r w:rsidRPr="0041048B">
        <w:rPr>
          <w:rFonts w:ascii="Arial" w:hAnsi="Arial" w:cs="Arial"/>
          <w:color w:val="222222"/>
        </w:rPr>
        <w:t xml:space="preserve">Yet, even as some parts of the field double down on the elusive ‘impact’ of being informed (Ryan et al., 2023), suggestions that </w:t>
      </w:r>
      <w:r w:rsidR="00246E4D" w:rsidRPr="0041048B">
        <w:rPr>
          <w:rFonts w:ascii="Arial" w:hAnsi="Arial" w:cs="Arial"/>
          <w:color w:val="222222"/>
        </w:rPr>
        <w:t>IL</w:t>
      </w:r>
      <w:r w:rsidRPr="0041048B">
        <w:rPr>
          <w:rFonts w:ascii="Arial" w:hAnsi="Arial" w:cs="Arial"/>
          <w:color w:val="222222"/>
        </w:rPr>
        <w:t xml:space="preserve"> is being employed in a range of less ‘virtuous’ activities, including criminal or anti-democratic aims, means that others are starting to question the tenor of this conversation. These concerns are often dismissed as aberrations within professional narratives, evidence of the need for more </w:t>
      </w:r>
      <w:r w:rsidR="00246E4D" w:rsidRPr="0041048B">
        <w:rPr>
          <w:rFonts w:ascii="Arial" w:hAnsi="Arial" w:cs="Arial"/>
          <w:color w:val="222222"/>
        </w:rPr>
        <w:t>IL</w:t>
      </w:r>
      <w:r w:rsidRPr="0041048B">
        <w:rPr>
          <w:rFonts w:ascii="Arial" w:hAnsi="Arial" w:cs="Arial"/>
          <w:color w:val="222222"/>
        </w:rPr>
        <w:t xml:space="preserve"> instruction rather than anything else. However, I argue that unorthodox and subversive information activities should instead be understood as </w:t>
      </w:r>
      <w:r w:rsidR="00246E4D" w:rsidRPr="0041048B">
        <w:rPr>
          <w:rFonts w:ascii="Arial" w:hAnsi="Arial" w:cs="Arial"/>
          <w:color w:val="222222"/>
        </w:rPr>
        <w:t>IL</w:t>
      </w:r>
      <w:r w:rsidRPr="0041048B">
        <w:rPr>
          <w:rFonts w:ascii="Arial" w:hAnsi="Arial" w:cs="Arial"/>
          <w:color w:val="222222"/>
        </w:rPr>
        <w:t xml:space="preserve">’s negative space, a design term that refers to the aspects of the composition that surround the main focal object. Most famously exemplified by the </w:t>
      </w:r>
      <w:hyperlink r:id="rId13" w:anchor="/media/File:Face_or_vase_ata_01.svg" w:history="1">
        <w:r w:rsidRPr="0041048B">
          <w:rPr>
            <w:rStyle w:val="Hyperlink"/>
            <w:rFonts w:ascii="Arial" w:hAnsi="Arial" w:cs="Arial"/>
          </w:rPr>
          <w:t>Rubin face vase</w:t>
        </w:r>
      </w:hyperlink>
      <w:r w:rsidRPr="0041048B">
        <w:rPr>
          <w:rFonts w:ascii="Arial" w:hAnsi="Arial" w:cs="Arial"/>
          <w:color w:val="222222"/>
        </w:rPr>
        <w:t>, in which the</w:t>
      </w:r>
      <w:r w:rsidR="00EB545C" w:rsidRPr="0041048B">
        <w:rPr>
          <w:rFonts w:ascii="Arial" w:hAnsi="Arial" w:cs="Arial"/>
          <w:color w:val="222222"/>
        </w:rPr>
        <w:t xml:space="preserve"> backdrop to the receptacle</w:t>
      </w:r>
      <w:r w:rsidRPr="0041048B">
        <w:rPr>
          <w:rFonts w:ascii="Arial" w:hAnsi="Arial" w:cs="Arial"/>
          <w:color w:val="222222"/>
        </w:rPr>
        <w:t xml:space="preserve"> creates additional meaning, the concept of negative space is useful because it draws attention to what is rendered invisible within dominant narratives while also forcing an awareness of the object as a whole. It also forms a handy play on words for the adverse or disagreeable nature of this </w:t>
      </w:r>
      <w:r w:rsidR="00EB545C" w:rsidRPr="0041048B">
        <w:rPr>
          <w:rFonts w:ascii="Arial" w:hAnsi="Arial" w:cs="Arial"/>
          <w:color w:val="222222"/>
        </w:rPr>
        <w:t xml:space="preserve">IL </w:t>
      </w:r>
      <w:r w:rsidRPr="0041048B">
        <w:rPr>
          <w:rFonts w:ascii="Arial" w:hAnsi="Arial" w:cs="Arial"/>
          <w:color w:val="222222"/>
        </w:rPr>
        <w:t xml:space="preserve">work, a term that also references Burnett and Lloyd’s (2020) conceptualisation of “dark knowledge” as what is hidden from power. Whichever way we interpret </w:t>
      </w:r>
      <w:r w:rsidR="00EB545C" w:rsidRPr="0041048B">
        <w:rPr>
          <w:rFonts w:ascii="Arial" w:hAnsi="Arial" w:cs="Arial"/>
          <w:color w:val="222222"/>
        </w:rPr>
        <w:t>negative space</w:t>
      </w:r>
      <w:r w:rsidRPr="0041048B">
        <w:rPr>
          <w:rFonts w:ascii="Arial" w:hAnsi="Arial" w:cs="Arial"/>
          <w:color w:val="222222"/>
        </w:rPr>
        <w:t xml:space="preserve">, I argue that acknowledging and starting an open dialogue about </w:t>
      </w:r>
      <w:r w:rsidR="00246E4D" w:rsidRPr="0041048B">
        <w:rPr>
          <w:rFonts w:ascii="Arial" w:hAnsi="Arial" w:cs="Arial"/>
          <w:color w:val="222222"/>
        </w:rPr>
        <w:t>IL</w:t>
      </w:r>
      <w:r w:rsidRPr="0041048B">
        <w:rPr>
          <w:rFonts w:ascii="Arial" w:hAnsi="Arial" w:cs="Arial"/>
          <w:color w:val="222222"/>
        </w:rPr>
        <w:t xml:space="preserve">’s vulnerability is one of the most vital conversations that we need to have if the field is to thrive </w:t>
      </w:r>
      <w:r w:rsidR="00EB545C" w:rsidRPr="0041048B">
        <w:rPr>
          <w:rFonts w:ascii="Arial" w:hAnsi="Arial" w:cs="Arial"/>
          <w:color w:val="222222"/>
        </w:rPr>
        <w:t>across</w:t>
      </w:r>
      <w:r w:rsidRPr="0041048B">
        <w:rPr>
          <w:rFonts w:ascii="Arial" w:hAnsi="Arial" w:cs="Arial"/>
          <w:color w:val="222222"/>
        </w:rPr>
        <w:t xml:space="preserve"> the next fifty years.  </w:t>
      </w:r>
    </w:p>
    <w:p w14:paraId="06F36926" w14:textId="77777777" w:rsidR="004A5DEB" w:rsidRPr="004A5DEB" w:rsidRDefault="004A5DEB" w:rsidP="004A5DEB">
      <w:pPr>
        <w:keepNext/>
        <w:keepLines/>
        <w:pBdr>
          <w:top w:val="nil"/>
          <w:left w:val="nil"/>
          <w:bottom w:val="nil"/>
          <w:right w:val="nil"/>
          <w:between w:val="nil"/>
        </w:pBdr>
        <w:spacing w:after="200" w:line="240" w:lineRule="auto"/>
        <w:rPr>
          <w:rFonts w:ascii="Arial" w:eastAsia="Arial" w:hAnsi="Arial" w:cs="Arial"/>
          <w:b/>
          <w:color w:val="000000"/>
          <w:sz w:val="28"/>
          <w:szCs w:val="28"/>
        </w:rPr>
      </w:pPr>
      <w:r w:rsidRPr="004A5DEB">
        <w:rPr>
          <w:rFonts w:ascii="Arial" w:eastAsia="Arial" w:hAnsi="Arial" w:cs="Arial"/>
          <w:b/>
          <w:color w:val="000000"/>
          <w:sz w:val="28"/>
          <w:szCs w:val="28"/>
        </w:rPr>
        <w:t>From positive to negative space</w:t>
      </w:r>
    </w:p>
    <w:p w14:paraId="4315827D" w14:textId="3CA66F63" w:rsidR="004A5DEB" w:rsidRPr="004A5DEB" w:rsidRDefault="004A5DEB" w:rsidP="0041048B">
      <w:pPr>
        <w:spacing w:after="240" w:line="240" w:lineRule="auto"/>
        <w:rPr>
          <w:rFonts w:ascii="Arial" w:hAnsi="Arial" w:cs="Arial"/>
          <w:color w:val="222222"/>
        </w:rPr>
      </w:pPr>
      <w:r w:rsidRPr="004A5DEB">
        <w:rPr>
          <w:rFonts w:ascii="Arial" w:hAnsi="Arial" w:cs="Arial"/>
          <w:color w:val="222222"/>
        </w:rPr>
        <w:t xml:space="preserve">Research specifically questioning the assumed positive outcomes of </w:t>
      </w:r>
      <w:r w:rsidR="00E21623">
        <w:rPr>
          <w:rFonts w:ascii="Arial" w:hAnsi="Arial" w:cs="Arial"/>
          <w:color w:val="222222"/>
        </w:rPr>
        <w:t>IL</w:t>
      </w:r>
      <w:r w:rsidRPr="004A5DEB">
        <w:rPr>
          <w:rFonts w:ascii="Arial" w:hAnsi="Arial" w:cs="Arial"/>
          <w:color w:val="222222"/>
        </w:rPr>
        <w:t xml:space="preserve"> first started to emerge in the early 2020s as scholars turned their attention to social polarisation. Moving beyond the typical deficit approach that positioned “unorthodox viewpoints” (Lee et al., 2021) as resulting from a lack of information skills, researchers noted the variety of sophisticated approaches that </w:t>
      </w:r>
      <w:proofErr w:type="spellStart"/>
      <w:r w:rsidRPr="004A5DEB">
        <w:rPr>
          <w:rFonts w:ascii="Arial" w:hAnsi="Arial" w:cs="Arial"/>
          <w:color w:val="222222"/>
        </w:rPr>
        <w:t>counterpublic</w:t>
      </w:r>
      <w:proofErr w:type="spellEnd"/>
      <w:r w:rsidRPr="004A5DEB">
        <w:rPr>
          <w:rFonts w:ascii="Arial" w:hAnsi="Arial" w:cs="Arial"/>
          <w:color w:val="222222"/>
        </w:rPr>
        <w:t xml:space="preserve"> groups employed to achieve their agendas, including the agentic use of information tools and technologies. Thus, Crystal Lee and colleagues (2021) found that Coronavirus sceptics leveraged a wide range of conventional information strategies to advocate for desired anti-establishment policy changes, including critically assessing and identifying bias in information sources. These ideas were further extended by Matthew Hannah (2023, p.</w:t>
      </w:r>
      <w:r w:rsidR="00E21623">
        <w:rPr>
          <w:rFonts w:ascii="Arial" w:hAnsi="Arial" w:cs="Arial"/>
          <w:color w:val="222222"/>
        </w:rPr>
        <w:t xml:space="preserve"> </w:t>
      </w:r>
      <w:r w:rsidRPr="004A5DEB">
        <w:rPr>
          <w:rFonts w:ascii="Arial" w:hAnsi="Arial" w:cs="Arial"/>
          <w:color w:val="222222"/>
        </w:rPr>
        <w:t xml:space="preserve">209), who traced parallels between the knowledge practices listed in the ACRL Framework (2016) and the tactics of </w:t>
      </w:r>
      <w:proofErr w:type="spellStart"/>
      <w:r w:rsidRPr="004A5DEB">
        <w:rPr>
          <w:rFonts w:ascii="Arial" w:hAnsi="Arial" w:cs="Arial"/>
          <w:color w:val="222222"/>
        </w:rPr>
        <w:t>QAnon</w:t>
      </w:r>
      <w:proofErr w:type="spellEnd"/>
      <w:r w:rsidRPr="004A5DEB">
        <w:rPr>
          <w:rFonts w:ascii="Arial" w:hAnsi="Arial" w:cs="Arial"/>
          <w:color w:val="222222"/>
        </w:rPr>
        <w:t>, a far-right conspiracy theory political movement, arguing that “</w:t>
      </w:r>
      <w:proofErr w:type="spellStart"/>
      <w:r w:rsidRPr="004A5DEB">
        <w:rPr>
          <w:rFonts w:ascii="Arial" w:hAnsi="Arial" w:cs="Arial"/>
          <w:color w:val="222222"/>
        </w:rPr>
        <w:t>QAnon</w:t>
      </w:r>
      <w:proofErr w:type="spellEnd"/>
      <w:r w:rsidRPr="004A5DEB">
        <w:rPr>
          <w:rFonts w:ascii="Arial" w:hAnsi="Arial" w:cs="Arial"/>
          <w:color w:val="222222"/>
        </w:rPr>
        <w:t xml:space="preserve"> functions as a twisted form of IL” in which value is accorded to traditional methods of research and analysis. COVID-19 research also corroborated scholarship that illustrated how vaccine hesitant people carry out “intensive (and critical) reading of information from a wide variety of sources” (Hobson-West, 2007, p.209), with Hicks and Lloyd (2022b) noting that people who delayed their COVID-19 vaccination demonstrated critical, situated, and embodied ways of managing information. These studies provide a disconcerting challenge to progressive conceptualisations of information activity. </w:t>
      </w:r>
    </w:p>
    <w:p w14:paraId="2FF242C7" w14:textId="6B5841CD" w:rsidR="004A5DEB" w:rsidRPr="004A5DEB" w:rsidRDefault="004A5DEB" w:rsidP="0041048B">
      <w:pPr>
        <w:spacing w:after="240" w:line="240" w:lineRule="auto"/>
        <w:rPr>
          <w:rFonts w:ascii="Arial" w:hAnsi="Arial" w:cs="Arial"/>
          <w:color w:val="222222"/>
        </w:rPr>
      </w:pPr>
      <w:r w:rsidRPr="004A5DEB">
        <w:rPr>
          <w:rFonts w:ascii="Arial" w:hAnsi="Arial" w:cs="Arial"/>
          <w:color w:val="222222"/>
        </w:rPr>
        <w:t xml:space="preserve">Since then, effort has been made to contest the potential implications of these findings. In what forms one of the most careful arguments to date, Haider and </w:t>
      </w:r>
      <w:proofErr w:type="spellStart"/>
      <w:r w:rsidRPr="004A5DEB">
        <w:rPr>
          <w:rFonts w:ascii="Arial" w:hAnsi="Arial" w:cs="Arial"/>
          <w:color w:val="222222"/>
        </w:rPr>
        <w:t>Sundin</w:t>
      </w:r>
      <w:proofErr w:type="spellEnd"/>
      <w:r w:rsidRPr="004A5DEB">
        <w:rPr>
          <w:rFonts w:ascii="Arial" w:hAnsi="Arial" w:cs="Arial"/>
          <w:color w:val="222222"/>
        </w:rPr>
        <w:t xml:space="preserve"> (2022) point out that the complex situatedness of social practice, wherein communities are guided by very different material realities, directly presupposes that </w:t>
      </w:r>
      <w:r w:rsidR="00E21623">
        <w:rPr>
          <w:rFonts w:ascii="Arial" w:hAnsi="Arial" w:cs="Arial"/>
          <w:color w:val="222222"/>
        </w:rPr>
        <w:t>IL</w:t>
      </w:r>
      <w:r w:rsidRPr="004A5DEB">
        <w:rPr>
          <w:rFonts w:ascii="Arial" w:hAnsi="Arial" w:cs="Arial"/>
          <w:color w:val="222222"/>
        </w:rPr>
        <w:t xml:space="preserve"> will, autonomously, lead to social and economic change. As they point out, “the relationship between literacy and progress, literacy and democracy, or literacy and increased equality or social justice more broadly, does not materialise by itself” (p.59). From this perspective, claims of </w:t>
      </w:r>
      <w:r w:rsidR="00E21623">
        <w:rPr>
          <w:rFonts w:ascii="Arial" w:hAnsi="Arial" w:cs="Arial"/>
          <w:color w:val="222222"/>
        </w:rPr>
        <w:t>IL’s</w:t>
      </w:r>
      <w:r w:rsidRPr="004A5DEB">
        <w:rPr>
          <w:rFonts w:ascii="Arial" w:hAnsi="Arial" w:cs="Arial"/>
          <w:color w:val="222222"/>
        </w:rPr>
        <w:t xml:space="preserve"> impact on social progress </w:t>
      </w:r>
      <w:r w:rsidRPr="004A5DEB">
        <w:rPr>
          <w:rFonts w:ascii="Arial" w:hAnsi="Arial" w:cs="Arial"/>
          <w:color w:val="222222"/>
        </w:rPr>
        <w:lastRenderedPageBreak/>
        <w:t xml:space="preserve">should be seen as strategic rather than as causal. However, Haider and </w:t>
      </w:r>
      <w:proofErr w:type="spellStart"/>
      <w:r w:rsidRPr="004A5DEB">
        <w:rPr>
          <w:rFonts w:ascii="Arial" w:hAnsi="Arial" w:cs="Arial"/>
          <w:color w:val="222222"/>
        </w:rPr>
        <w:t>Sundin</w:t>
      </w:r>
      <w:proofErr w:type="spellEnd"/>
      <w:r w:rsidRPr="004A5DEB">
        <w:rPr>
          <w:rFonts w:ascii="Arial" w:hAnsi="Arial" w:cs="Arial"/>
          <w:color w:val="222222"/>
        </w:rPr>
        <w:t xml:space="preserve"> then go on to argue that the discrediting of this rhetoric does not stop us from foregrounding the values and critical tools that we want to prevail within our information literacy agenda. In effect, they contend that if we want to propose </w:t>
      </w:r>
      <w:r w:rsidR="00AD284C">
        <w:rPr>
          <w:rFonts w:ascii="Arial" w:hAnsi="Arial" w:cs="Arial"/>
          <w:color w:val="222222"/>
        </w:rPr>
        <w:t>IL</w:t>
      </w:r>
      <w:r w:rsidRPr="004A5DEB">
        <w:rPr>
          <w:rFonts w:ascii="Arial" w:hAnsi="Arial" w:cs="Arial"/>
          <w:color w:val="222222"/>
        </w:rPr>
        <w:t xml:space="preserve"> as a solution to the growth of anti-democratic and extremist voices, then we must be prepared to impose normative ideals about what </w:t>
      </w:r>
      <w:r w:rsidR="007540DB">
        <w:rPr>
          <w:rFonts w:ascii="Arial" w:hAnsi="Arial" w:cs="Arial"/>
          <w:color w:val="222222"/>
        </w:rPr>
        <w:t>IL</w:t>
      </w:r>
      <w:r w:rsidRPr="004A5DEB">
        <w:rPr>
          <w:rFonts w:ascii="Arial" w:hAnsi="Arial" w:cs="Arial"/>
          <w:color w:val="222222"/>
        </w:rPr>
        <w:t xml:space="preserve"> should entail. As they warn, if </w:t>
      </w:r>
      <w:r w:rsidR="007540DB">
        <w:rPr>
          <w:rFonts w:ascii="Arial" w:hAnsi="Arial" w:cs="Arial"/>
          <w:color w:val="222222"/>
        </w:rPr>
        <w:t>IL</w:t>
      </w:r>
      <w:r w:rsidRPr="004A5DEB">
        <w:rPr>
          <w:rFonts w:ascii="Arial" w:hAnsi="Arial" w:cs="Arial"/>
          <w:color w:val="222222"/>
        </w:rPr>
        <w:t xml:space="preserve"> “does not point at something shared, it runs the risk of becoming void of meaning” (p.</w:t>
      </w:r>
      <w:r w:rsidR="007540DB">
        <w:rPr>
          <w:rFonts w:ascii="Arial" w:hAnsi="Arial" w:cs="Arial"/>
          <w:color w:val="222222"/>
        </w:rPr>
        <w:t xml:space="preserve"> </w:t>
      </w:r>
      <w:r w:rsidRPr="004A5DEB">
        <w:rPr>
          <w:rFonts w:ascii="Arial" w:hAnsi="Arial" w:cs="Arial"/>
          <w:color w:val="222222"/>
        </w:rPr>
        <w:t>60) or, at the very least, dismissive of the “plurality of positions, voices and opinions” (p.</w:t>
      </w:r>
      <w:r w:rsidR="007540DB">
        <w:rPr>
          <w:rFonts w:ascii="Arial" w:hAnsi="Arial" w:cs="Arial"/>
          <w:color w:val="222222"/>
        </w:rPr>
        <w:t xml:space="preserve"> </w:t>
      </w:r>
      <w:r w:rsidRPr="004A5DEB">
        <w:rPr>
          <w:rFonts w:ascii="Arial" w:hAnsi="Arial" w:cs="Arial"/>
          <w:color w:val="222222"/>
        </w:rPr>
        <w:t xml:space="preserve">68) from which liberal democracy emerges. Positioning normativity </w:t>
      </w:r>
      <w:proofErr w:type="gramStart"/>
      <w:r w:rsidRPr="004A5DEB">
        <w:rPr>
          <w:rFonts w:ascii="Arial" w:hAnsi="Arial" w:cs="Arial"/>
          <w:color w:val="222222"/>
        </w:rPr>
        <w:t xml:space="preserve">as a </w:t>
      </w:r>
      <w:r w:rsidR="00EB545C">
        <w:rPr>
          <w:rFonts w:ascii="Arial" w:hAnsi="Arial" w:cs="Arial"/>
          <w:color w:val="222222"/>
        </w:rPr>
        <w:t>way</w:t>
      </w:r>
      <w:r w:rsidRPr="004A5DEB">
        <w:rPr>
          <w:rFonts w:ascii="Arial" w:hAnsi="Arial" w:cs="Arial"/>
          <w:color w:val="222222"/>
        </w:rPr>
        <w:t xml:space="preserve"> to</w:t>
      </w:r>
      <w:proofErr w:type="gramEnd"/>
      <w:r w:rsidRPr="004A5DEB">
        <w:rPr>
          <w:rFonts w:ascii="Arial" w:hAnsi="Arial" w:cs="Arial"/>
          <w:color w:val="222222"/>
        </w:rPr>
        <w:t xml:space="preserve"> advance “shared standpoints that enable collective meaning-making” (p.</w:t>
      </w:r>
      <w:r w:rsidR="007540DB">
        <w:rPr>
          <w:rFonts w:ascii="Arial" w:hAnsi="Arial" w:cs="Arial"/>
          <w:color w:val="222222"/>
        </w:rPr>
        <w:t xml:space="preserve"> </w:t>
      </w:r>
      <w:r w:rsidRPr="004A5DEB">
        <w:rPr>
          <w:rFonts w:ascii="Arial" w:hAnsi="Arial" w:cs="Arial"/>
          <w:color w:val="222222"/>
        </w:rPr>
        <w:t>69) rather than as merely the means to evaluate capacity, this reasoning provides a way to reinforce the value of information literacy in the face of existential challenge.</w:t>
      </w:r>
    </w:p>
    <w:p w14:paraId="7BF899EA" w14:textId="496D5867" w:rsidR="004A5DEB" w:rsidRPr="004A5DEB" w:rsidRDefault="004A5DEB" w:rsidP="0041048B">
      <w:pPr>
        <w:spacing w:after="240" w:line="240" w:lineRule="auto"/>
        <w:rPr>
          <w:rFonts w:ascii="Arial" w:hAnsi="Arial" w:cs="Arial"/>
          <w:color w:val="222222"/>
        </w:rPr>
      </w:pPr>
      <w:r w:rsidRPr="004A5DEB">
        <w:rPr>
          <w:rFonts w:ascii="Arial" w:hAnsi="Arial" w:cs="Arial"/>
          <w:color w:val="222222"/>
        </w:rPr>
        <w:t xml:space="preserve">And yet, recommitting ourselves to normative ideals also raises concerns, including the need to consider what we might lose if we were to re-align </w:t>
      </w:r>
      <w:r w:rsidR="007540DB">
        <w:rPr>
          <w:rFonts w:ascii="Arial" w:hAnsi="Arial" w:cs="Arial"/>
          <w:color w:val="222222"/>
        </w:rPr>
        <w:t>IL</w:t>
      </w:r>
      <w:r w:rsidRPr="004A5DEB">
        <w:rPr>
          <w:rFonts w:ascii="Arial" w:hAnsi="Arial" w:cs="Arial"/>
          <w:color w:val="222222"/>
        </w:rPr>
        <w:t xml:space="preserve"> with standardised frameworks. As Haider and </w:t>
      </w:r>
      <w:proofErr w:type="spellStart"/>
      <w:r w:rsidRPr="004A5DEB">
        <w:rPr>
          <w:rFonts w:ascii="Arial" w:hAnsi="Arial" w:cs="Arial"/>
          <w:color w:val="222222"/>
        </w:rPr>
        <w:t>Sundin</w:t>
      </w:r>
      <w:proofErr w:type="spellEnd"/>
      <w:r w:rsidRPr="004A5DEB">
        <w:rPr>
          <w:rFonts w:ascii="Arial" w:hAnsi="Arial" w:cs="Arial"/>
          <w:color w:val="222222"/>
        </w:rPr>
        <w:t xml:space="preserve"> (2022, p.</w:t>
      </w:r>
      <w:r w:rsidR="007540DB">
        <w:rPr>
          <w:rFonts w:ascii="Arial" w:hAnsi="Arial" w:cs="Arial"/>
          <w:color w:val="222222"/>
        </w:rPr>
        <w:t xml:space="preserve"> </w:t>
      </w:r>
      <w:r w:rsidRPr="004A5DEB">
        <w:rPr>
          <w:rFonts w:ascii="Arial" w:hAnsi="Arial" w:cs="Arial"/>
          <w:color w:val="222222"/>
        </w:rPr>
        <w:t xml:space="preserve">58) themselves point out, standardisation enforces racist assumptions about what counts as knowledge or information literate practice. The work that sociocultural </w:t>
      </w:r>
      <w:r w:rsidR="007540DB">
        <w:rPr>
          <w:rFonts w:ascii="Arial" w:hAnsi="Arial" w:cs="Arial"/>
          <w:color w:val="222222"/>
        </w:rPr>
        <w:t>IL</w:t>
      </w:r>
      <w:r w:rsidRPr="004A5DEB">
        <w:rPr>
          <w:rFonts w:ascii="Arial" w:hAnsi="Arial" w:cs="Arial"/>
          <w:color w:val="222222"/>
        </w:rPr>
        <w:t xml:space="preserve"> research does to expose damaging power structures provides a further illustration of how an uncritical acceptance of standardisation in the moment of practice could harm both the field and, ironically, its social goals. One concern lies with the messages that normative guidelines promote; scholarship identifying the presence of deficit narratives within institutional documents, for example, undermines </w:t>
      </w:r>
      <w:r w:rsidR="007540DB">
        <w:rPr>
          <w:rFonts w:ascii="Arial" w:hAnsi="Arial" w:cs="Arial"/>
          <w:color w:val="222222"/>
        </w:rPr>
        <w:t xml:space="preserve">IL’s </w:t>
      </w:r>
      <w:r w:rsidRPr="004A5DEB">
        <w:rPr>
          <w:rFonts w:ascii="Arial" w:hAnsi="Arial" w:cs="Arial"/>
          <w:color w:val="222222"/>
        </w:rPr>
        <w:t xml:space="preserve">presumed beneficial outcomes by illustrating how typical empowerment discourses are predicated upon acquiescence to rather than a contesting of power relations (Hicks &amp; Lloyd, 2021). The prioritisation of compliance-focused learning outcomes within current </w:t>
      </w:r>
      <w:r w:rsidR="007540DB">
        <w:rPr>
          <w:rFonts w:ascii="Arial" w:hAnsi="Arial" w:cs="Arial"/>
          <w:color w:val="222222"/>
        </w:rPr>
        <w:t>IL</w:t>
      </w:r>
      <w:r w:rsidRPr="004A5DEB">
        <w:rPr>
          <w:rFonts w:ascii="Arial" w:hAnsi="Arial" w:cs="Arial"/>
          <w:color w:val="222222"/>
        </w:rPr>
        <w:t xml:space="preserve"> documents provides a further indication of the limited scope that the normative approach has for dealing with complex information infrastructures (Hicks &amp; Lloyd, 2022a). A related concern lies in what is excluded from a standardised conception of information literacy. The typical omission of information avoidance from professional guidelines, for example, is challenged by COVID-19 research that demonstrates how purposefully limiting information helps people to ‘go on’ during an emotionally draining time (Lloyd &amp; Hicks, 2022). These findings, which point to the ongoing influence of rationalism within </w:t>
      </w:r>
      <w:r w:rsidR="00ED1144">
        <w:rPr>
          <w:rFonts w:ascii="Arial" w:hAnsi="Arial" w:cs="Arial"/>
          <w:color w:val="222222"/>
        </w:rPr>
        <w:t>IL</w:t>
      </w:r>
      <w:r w:rsidRPr="004A5DEB">
        <w:rPr>
          <w:rFonts w:ascii="Arial" w:hAnsi="Arial" w:cs="Arial"/>
          <w:color w:val="222222"/>
        </w:rPr>
        <w:t xml:space="preserve"> discourse (also see Tuominen, 1997), further contest the value of this approach within crisis situations.   </w:t>
      </w:r>
    </w:p>
    <w:p w14:paraId="253EAB78" w14:textId="47BC0BAD" w:rsidR="004A5DEB" w:rsidRPr="004A5DEB" w:rsidRDefault="004A5DEB" w:rsidP="0041048B">
      <w:pPr>
        <w:spacing w:after="240" w:line="240" w:lineRule="auto"/>
        <w:rPr>
          <w:rFonts w:ascii="Arial" w:hAnsi="Arial" w:cs="Arial"/>
          <w:color w:val="222222"/>
        </w:rPr>
      </w:pPr>
      <w:r w:rsidRPr="004A5DEB">
        <w:rPr>
          <w:rFonts w:ascii="Arial" w:hAnsi="Arial" w:cs="Arial"/>
          <w:color w:val="222222"/>
        </w:rPr>
        <w:t xml:space="preserve">So, what might a solution be for a situation in which librarian-promoted </w:t>
      </w:r>
      <w:r w:rsidR="00D447BB">
        <w:rPr>
          <w:rFonts w:ascii="Arial" w:hAnsi="Arial" w:cs="Arial"/>
          <w:color w:val="222222"/>
        </w:rPr>
        <w:t>IL</w:t>
      </w:r>
      <w:r w:rsidRPr="004A5DEB">
        <w:rPr>
          <w:rFonts w:ascii="Arial" w:hAnsi="Arial" w:cs="Arial"/>
          <w:color w:val="222222"/>
        </w:rPr>
        <w:t xml:space="preserve"> skills are being used to advance subversive or hostile goals? On the one hand, the growth of scholarship examining the operationalisation of information activity within anti-establishment contexts directly challenges the last fifty years of information literacy research and practice, including its organising documents or structures. Can we really continue earnestly applying the ACRL Framework (2016) to our lesson plans, for example, when we know that the very same strategies are being used to perpetuate racist internet conspiracy? On the other hand, alternative suggestions to address these issues, which include introducing an overt moral thread into </w:t>
      </w:r>
      <w:r w:rsidR="00A923E4">
        <w:rPr>
          <w:rFonts w:ascii="Arial" w:hAnsi="Arial" w:cs="Arial"/>
          <w:color w:val="222222"/>
        </w:rPr>
        <w:t>IL</w:t>
      </w:r>
      <w:r w:rsidRPr="004A5DEB">
        <w:rPr>
          <w:rFonts w:ascii="Arial" w:hAnsi="Arial" w:cs="Arial"/>
          <w:color w:val="222222"/>
        </w:rPr>
        <w:t xml:space="preserve"> teaching in the shape of virtue epistemology (McMenemy &amp; Buchanan, 2019; Bivens-Tatum, 2022, </w:t>
      </w:r>
      <w:proofErr w:type="spellStart"/>
      <w:r w:rsidRPr="004A5DEB">
        <w:rPr>
          <w:rFonts w:ascii="Arial" w:hAnsi="Arial" w:cs="Arial"/>
          <w:color w:val="222222"/>
        </w:rPr>
        <w:t>Gorichanaz</w:t>
      </w:r>
      <w:proofErr w:type="spellEnd"/>
      <w:r w:rsidRPr="004A5DEB">
        <w:rPr>
          <w:rFonts w:ascii="Arial" w:hAnsi="Arial" w:cs="Arial"/>
          <w:color w:val="222222"/>
        </w:rPr>
        <w:t xml:space="preserve">, 2023), introduce a swathe of other problems, including whose morals would predominate and under which social conditions these ideals might prevail. We’ve already (arguably unsuccessfully) dabbled with dispositions within </w:t>
      </w:r>
      <w:r w:rsidR="00A923E4">
        <w:rPr>
          <w:rFonts w:ascii="Arial" w:hAnsi="Arial" w:cs="Arial"/>
          <w:color w:val="222222"/>
        </w:rPr>
        <w:t>IL</w:t>
      </w:r>
      <w:r w:rsidRPr="004A5DEB">
        <w:rPr>
          <w:rFonts w:ascii="Arial" w:hAnsi="Arial" w:cs="Arial"/>
          <w:color w:val="222222"/>
        </w:rPr>
        <w:t xml:space="preserve"> teaching (Seale, 2016) and the fate of information avoidance, outlined above, provides a prime example of the fine line between moral character development and deficit thinking. Given these choices, it seems that Haider &amp; </w:t>
      </w:r>
      <w:proofErr w:type="spellStart"/>
      <w:r w:rsidRPr="004A5DEB">
        <w:rPr>
          <w:rFonts w:ascii="Arial" w:hAnsi="Arial" w:cs="Arial"/>
          <w:color w:val="222222"/>
        </w:rPr>
        <w:t>Sundin’s</w:t>
      </w:r>
      <w:proofErr w:type="spellEnd"/>
      <w:r w:rsidRPr="004A5DEB">
        <w:rPr>
          <w:rFonts w:ascii="Arial" w:hAnsi="Arial" w:cs="Arial"/>
          <w:color w:val="222222"/>
        </w:rPr>
        <w:t xml:space="preserve"> (2022, p.</w:t>
      </w:r>
      <w:r w:rsidR="00526502">
        <w:rPr>
          <w:rFonts w:ascii="Arial" w:hAnsi="Arial" w:cs="Arial"/>
          <w:color w:val="222222"/>
        </w:rPr>
        <w:t xml:space="preserve"> </w:t>
      </w:r>
      <w:r w:rsidRPr="004A5DEB">
        <w:rPr>
          <w:rFonts w:ascii="Arial" w:hAnsi="Arial" w:cs="Arial"/>
          <w:color w:val="222222"/>
        </w:rPr>
        <w:t xml:space="preserve">60) argument for normativity may, in fact, be the most viable resolution, particularly if moral and political values are “made visible for what they are” rather than covertly assumed.  </w:t>
      </w:r>
    </w:p>
    <w:p w14:paraId="7044D915" w14:textId="77777777" w:rsidR="004A5DEB" w:rsidRPr="004A5DEB" w:rsidRDefault="004A5DEB" w:rsidP="004A5DEB">
      <w:pPr>
        <w:keepNext/>
        <w:keepLines/>
        <w:pBdr>
          <w:top w:val="nil"/>
          <w:left w:val="nil"/>
          <w:bottom w:val="nil"/>
          <w:right w:val="nil"/>
          <w:between w:val="nil"/>
        </w:pBdr>
        <w:spacing w:after="200" w:line="240" w:lineRule="auto"/>
        <w:rPr>
          <w:rFonts w:ascii="Arial" w:eastAsia="Arial" w:hAnsi="Arial" w:cs="Arial"/>
          <w:b/>
          <w:color w:val="000000"/>
          <w:sz w:val="28"/>
          <w:szCs w:val="28"/>
        </w:rPr>
      </w:pPr>
      <w:r w:rsidRPr="004A5DEB">
        <w:rPr>
          <w:rFonts w:ascii="Arial" w:eastAsia="Arial" w:hAnsi="Arial" w:cs="Arial"/>
          <w:b/>
          <w:color w:val="000000"/>
          <w:sz w:val="28"/>
          <w:szCs w:val="28"/>
        </w:rPr>
        <w:lastRenderedPageBreak/>
        <w:t>From negative to positive space</w:t>
      </w:r>
    </w:p>
    <w:p w14:paraId="1C48E734" w14:textId="33BCAC9C" w:rsidR="004A5DEB" w:rsidRPr="004A5DEB" w:rsidRDefault="004A5DEB" w:rsidP="0041048B">
      <w:pPr>
        <w:spacing w:after="240" w:line="240" w:lineRule="auto"/>
        <w:rPr>
          <w:rFonts w:ascii="Arial" w:hAnsi="Arial" w:cs="Arial"/>
        </w:rPr>
      </w:pPr>
      <w:r w:rsidRPr="004A5DEB">
        <w:rPr>
          <w:rFonts w:ascii="Arial" w:hAnsi="Arial" w:cs="Arial"/>
          <w:color w:val="222222"/>
        </w:rPr>
        <w:t>What if, however, there were another option? What if, instead of instinctively clinging to morals and compliance, we saw challenges to taken-for</w:t>
      </w:r>
      <w:r w:rsidR="00A7673A">
        <w:rPr>
          <w:rFonts w:ascii="Arial" w:hAnsi="Arial" w:cs="Arial"/>
          <w:color w:val="222222"/>
        </w:rPr>
        <w:t>-</w:t>
      </w:r>
      <w:r w:rsidRPr="004A5DEB">
        <w:rPr>
          <w:rFonts w:ascii="Arial" w:hAnsi="Arial" w:cs="Arial"/>
          <w:color w:val="222222"/>
        </w:rPr>
        <w:t xml:space="preserve">granted truths as an opportunity to learn about the aspects of </w:t>
      </w:r>
      <w:r w:rsidR="00A7673A">
        <w:rPr>
          <w:rFonts w:ascii="Arial" w:hAnsi="Arial" w:cs="Arial"/>
          <w:color w:val="222222"/>
        </w:rPr>
        <w:t>IL</w:t>
      </w:r>
      <w:r w:rsidRPr="004A5DEB">
        <w:rPr>
          <w:rFonts w:ascii="Arial" w:hAnsi="Arial" w:cs="Arial"/>
          <w:color w:val="222222"/>
        </w:rPr>
        <w:t xml:space="preserve"> that might have been obscured through our focus on more socially acceptable goals? In effect, how might </w:t>
      </w:r>
      <w:r w:rsidRPr="004A5DEB">
        <w:rPr>
          <w:rFonts w:ascii="Arial" w:hAnsi="Arial" w:cs="Arial"/>
        </w:rPr>
        <w:t xml:space="preserve">situations that are not typically aligned with librarian-derived understandings of </w:t>
      </w:r>
      <w:r w:rsidR="00A7673A">
        <w:rPr>
          <w:rFonts w:ascii="Arial" w:hAnsi="Arial" w:cs="Arial"/>
        </w:rPr>
        <w:t>IL</w:t>
      </w:r>
      <w:r w:rsidRPr="004A5DEB">
        <w:rPr>
          <w:rFonts w:ascii="Arial" w:hAnsi="Arial" w:cs="Arial"/>
        </w:rPr>
        <w:t xml:space="preserve"> create insight into the development of knowing</w:t>
      </w:r>
      <w:r w:rsidR="00A7673A">
        <w:rPr>
          <w:rFonts w:ascii="Arial" w:hAnsi="Arial" w:cs="Arial"/>
        </w:rPr>
        <w:softHyphen/>
        <w:t>—</w:t>
      </w:r>
      <w:r w:rsidRPr="004A5DEB">
        <w:rPr>
          <w:rFonts w:ascii="Arial" w:hAnsi="Arial" w:cs="Arial"/>
        </w:rPr>
        <w:t xml:space="preserve">and how might we use this knowledge to </w:t>
      </w:r>
      <w:r w:rsidRPr="004A5DEB">
        <w:rPr>
          <w:rFonts w:ascii="Arial" w:hAnsi="Arial" w:cs="Arial"/>
          <w:color w:val="222222"/>
        </w:rPr>
        <w:t>start a conversation about which aspects of practice we might want to salvage</w:t>
      </w:r>
      <w:r w:rsidR="00A7673A">
        <w:rPr>
          <w:rFonts w:ascii="Arial" w:hAnsi="Arial" w:cs="Arial"/>
          <w:color w:val="222222"/>
        </w:rPr>
        <w:t>—</w:t>
      </w:r>
      <w:r w:rsidRPr="004A5DEB">
        <w:rPr>
          <w:rFonts w:ascii="Arial" w:hAnsi="Arial" w:cs="Arial"/>
          <w:color w:val="222222"/>
        </w:rPr>
        <w:t xml:space="preserve">and which we do not? </w:t>
      </w:r>
      <w:r w:rsidR="00A7673A">
        <w:rPr>
          <w:rFonts w:ascii="Arial" w:hAnsi="Arial" w:cs="Arial"/>
          <w:color w:val="222222"/>
        </w:rPr>
        <w:t>IL</w:t>
      </w:r>
      <w:r w:rsidRPr="004A5DEB">
        <w:rPr>
          <w:rFonts w:ascii="Arial" w:hAnsi="Arial" w:cs="Arial"/>
          <w:color w:val="222222"/>
        </w:rPr>
        <w:t xml:space="preserve"> has only just started to grapple with questions of power and agency, for example, while concern has been raised that “</w:t>
      </w:r>
      <w:r w:rsidRPr="004A5DEB">
        <w:rPr>
          <w:rFonts w:ascii="Arial" w:hAnsi="Arial" w:cs="Arial"/>
        </w:rPr>
        <w:t>the goals of civic knowledge and participation closely tracks white, middle- class and college-educated people who can ‘afford’ the costs [of information use]” (</w:t>
      </w:r>
      <w:proofErr w:type="spellStart"/>
      <w:r w:rsidRPr="004A5DEB">
        <w:rPr>
          <w:rFonts w:ascii="Arial" w:hAnsi="Arial" w:cs="Arial"/>
        </w:rPr>
        <w:t>Buschman</w:t>
      </w:r>
      <w:proofErr w:type="spellEnd"/>
      <w:r w:rsidRPr="004A5DEB">
        <w:rPr>
          <w:rFonts w:ascii="Arial" w:hAnsi="Arial" w:cs="Arial"/>
        </w:rPr>
        <w:t>, 2023, p.</w:t>
      </w:r>
      <w:r w:rsidR="00A7673A">
        <w:rPr>
          <w:rFonts w:ascii="Arial" w:hAnsi="Arial" w:cs="Arial"/>
        </w:rPr>
        <w:t xml:space="preserve"> </w:t>
      </w:r>
      <w:r w:rsidRPr="004A5DEB">
        <w:rPr>
          <w:rFonts w:ascii="Arial" w:hAnsi="Arial" w:cs="Arial"/>
        </w:rPr>
        <w:t>8)</w:t>
      </w:r>
      <w:r w:rsidR="00A7673A">
        <w:rPr>
          <w:rFonts w:ascii="Arial" w:hAnsi="Arial" w:cs="Arial"/>
        </w:rPr>
        <w:t>.</w:t>
      </w:r>
      <w:r w:rsidRPr="004A5DEB">
        <w:rPr>
          <w:rFonts w:ascii="Arial" w:hAnsi="Arial" w:cs="Arial"/>
        </w:rPr>
        <w:t xml:space="preserve"> Along these lines, what might research into contested </w:t>
      </w:r>
      <w:r w:rsidR="00A7673A">
        <w:rPr>
          <w:rFonts w:ascii="Arial" w:hAnsi="Arial" w:cs="Arial"/>
        </w:rPr>
        <w:t>IL</w:t>
      </w:r>
      <w:r w:rsidRPr="004A5DEB">
        <w:rPr>
          <w:rFonts w:ascii="Arial" w:hAnsi="Arial" w:cs="Arial"/>
        </w:rPr>
        <w:t xml:space="preserve"> practice tell us about how the construction of information landscapes is enabled and constrained, including how knowledge becomes authorised or stigmatised and the conditions that shape agentic performance? These questions may seem flippant as political and social polarisation threatens</w:t>
      </w:r>
      <w:r w:rsidR="00EB545C">
        <w:rPr>
          <w:rFonts w:ascii="Arial" w:hAnsi="Arial" w:cs="Arial"/>
        </w:rPr>
        <w:t xml:space="preserve"> lives and</w:t>
      </w:r>
      <w:r w:rsidRPr="004A5DEB">
        <w:rPr>
          <w:rFonts w:ascii="Arial" w:hAnsi="Arial" w:cs="Arial"/>
        </w:rPr>
        <w:t xml:space="preserve"> livelihoods as well as social democratic structures, but I argue that it is only through an awareness of the </w:t>
      </w:r>
      <w:r w:rsidRPr="004A5DEB">
        <w:rPr>
          <w:rFonts w:ascii="Arial" w:hAnsi="Arial" w:cs="Arial"/>
          <w:i/>
        </w:rPr>
        <w:t>entirety</w:t>
      </w:r>
      <w:r w:rsidRPr="004A5DEB">
        <w:rPr>
          <w:rFonts w:ascii="Arial" w:hAnsi="Arial" w:cs="Arial"/>
        </w:rPr>
        <w:t xml:space="preserve"> of </w:t>
      </w:r>
      <w:r w:rsidR="00A7673A">
        <w:rPr>
          <w:rFonts w:ascii="Arial" w:hAnsi="Arial" w:cs="Arial"/>
        </w:rPr>
        <w:t>IL</w:t>
      </w:r>
      <w:r w:rsidRPr="004A5DEB">
        <w:rPr>
          <w:rFonts w:ascii="Arial" w:hAnsi="Arial" w:cs="Arial"/>
        </w:rPr>
        <w:t xml:space="preserve"> that we can face the challenge to its integrity. </w:t>
      </w:r>
    </w:p>
    <w:p w14:paraId="33DA7103" w14:textId="19D60F60" w:rsidR="004A5DEB" w:rsidRPr="004A5DEB" w:rsidRDefault="004A5DEB" w:rsidP="0041048B">
      <w:pPr>
        <w:spacing w:after="240" w:line="240" w:lineRule="auto"/>
        <w:rPr>
          <w:rFonts w:ascii="Arial" w:hAnsi="Arial" w:cs="Arial"/>
        </w:rPr>
      </w:pPr>
      <w:r w:rsidRPr="004A5DEB">
        <w:rPr>
          <w:rFonts w:ascii="Arial" w:hAnsi="Arial" w:cs="Arial"/>
        </w:rPr>
        <w:t xml:space="preserve">It is </w:t>
      </w:r>
      <w:r w:rsidR="00A7673A">
        <w:rPr>
          <w:rFonts w:ascii="Arial" w:hAnsi="Arial" w:cs="Arial"/>
        </w:rPr>
        <w:t>IL</w:t>
      </w:r>
      <w:r w:rsidRPr="004A5DEB">
        <w:rPr>
          <w:rFonts w:ascii="Arial" w:hAnsi="Arial" w:cs="Arial"/>
        </w:rPr>
        <w:t xml:space="preserve">’s negative space that I therefore suggest should be driving forward the next fifty years of research and practice in the field. Negative or empty (Brook, </w:t>
      </w:r>
      <w:r w:rsidR="004C4D0B">
        <w:rPr>
          <w:rFonts w:ascii="Arial" w:hAnsi="Arial" w:cs="Arial"/>
        </w:rPr>
        <w:t>1968/</w:t>
      </w:r>
      <w:r w:rsidRPr="004A5DEB">
        <w:rPr>
          <w:rFonts w:ascii="Arial" w:hAnsi="Arial" w:cs="Arial"/>
        </w:rPr>
        <w:t>2008) space is just as important as positive space within artistic practice; the focus on the area around the figure brings balance to a composition by defining both the subject and the boundaries of a piece (Rosenblatt, 2010). In effect, negative space forms “the lungs” of a design by creating breathing room that allows for the accentuation of what really matters (</w:t>
      </w:r>
      <w:proofErr w:type="spellStart"/>
      <w:r w:rsidRPr="004A5DEB">
        <w:rPr>
          <w:rFonts w:ascii="Arial" w:hAnsi="Arial" w:cs="Arial"/>
        </w:rPr>
        <w:t>Tschichold</w:t>
      </w:r>
      <w:proofErr w:type="spellEnd"/>
      <w:r w:rsidRPr="004A5DEB">
        <w:rPr>
          <w:rFonts w:ascii="Arial" w:hAnsi="Arial" w:cs="Arial"/>
        </w:rPr>
        <w:t>, 2006, p.</w:t>
      </w:r>
      <w:r w:rsidR="00561A27">
        <w:rPr>
          <w:rFonts w:ascii="Arial" w:hAnsi="Arial" w:cs="Arial"/>
        </w:rPr>
        <w:t xml:space="preserve"> </w:t>
      </w:r>
      <w:r w:rsidRPr="004A5DEB">
        <w:rPr>
          <w:rFonts w:ascii="Arial" w:hAnsi="Arial" w:cs="Arial"/>
        </w:rPr>
        <w:t xml:space="preserve">54). Applied to </w:t>
      </w:r>
      <w:r w:rsidR="00561A27">
        <w:rPr>
          <w:rFonts w:ascii="Arial" w:hAnsi="Arial" w:cs="Arial"/>
        </w:rPr>
        <w:t>IL</w:t>
      </w:r>
      <w:r w:rsidRPr="004A5DEB">
        <w:rPr>
          <w:rFonts w:ascii="Arial" w:hAnsi="Arial" w:cs="Arial"/>
        </w:rPr>
        <w:t>, the concept of negative space refers to the regions that surround the practice</w:t>
      </w:r>
      <w:r w:rsidR="00561A27">
        <w:rPr>
          <w:rFonts w:ascii="Arial" w:hAnsi="Arial" w:cs="Arial"/>
        </w:rPr>
        <w:t>—</w:t>
      </w:r>
      <w:r w:rsidRPr="004A5DEB">
        <w:rPr>
          <w:rFonts w:ascii="Arial" w:hAnsi="Arial" w:cs="Arial"/>
        </w:rPr>
        <w:t xml:space="preserve">the elements that sit outside or apart from a foregrounded representation of </w:t>
      </w:r>
      <w:r w:rsidR="00561A27">
        <w:rPr>
          <w:rFonts w:ascii="Arial" w:hAnsi="Arial" w:cs="Arial"/>
        </w:rPr>
        <w:t>IL—</w:t>
      </w:r>
      <w:r w:rsidRPr="004A5DEB">
        <w:rPr>
          <w:rFonts w:ascii="Arial" w:hAnsi="Arial" w:cs="Arial"/>
        </w:rPr>
        <w:t>rather than the practice itself. Drawing attention to what we might miss when we position what we might expect or have been taught to see (and hear, feel, experience, and do (</w:t>
      </w:r>
      <w:proofErr w:type="spellStart"/>
      <w:r w:rsidRPr="004A5DEB">
        <w:rPr>
          <w:rFonts w:ascii="Arial" w:hAnsi="Arial" w:cs="Arial"/>
        </w:rPr>
        <w:t>Buetow</w:t>
      </w:r>
      <w:proofErr w:type="spellEnd"/>
      <w:r w:rsidRPr="004A5DEB">
        <w:rPr>
          <w:rFonts w:ascii="Arial" w:hAnsi="Arial" w:cs="Arial"/>
        </w:rPr>
        <w:t xml:space="preserve">, 2009) when </w:t>
      </w:r>
      <w:r w:rsidR="00561A27">
        <w:rPr>
          <w:rFonts w:ascii="Arial" w:hAnsi="Arial" w:cs="Arial"/>
        </w:rPr>
        <w:t>IL</w:t>
      </w:r>
      <w:r w:rsidRPr="004A5DEB">
        <w:rPr>
          <w:rFonts w:ascii="Arial" w:hAnsi="Arial" w:cs="Arial"/>
        </w:rPr>
        <w:t xml:space="preserve"> forms the subject of the composition, the emphasis on “unobserved and dismissed interstices of our world” (Hill, 2014), which also </w:t>
      </w:r>
      <w:r w:rsidR="00EB545C">
        <w:rPr>
          <w:rFonts w:ascii="Arial" w:hAnsi="Arial" w:cs="Arial"/>
        </w:rPr>
        <w:t>chime</w:t>
      </w:r>
      <w:r w:rsidRPr="004A5DEB">
        <w:rPr>
          <w:rFonts w:ascii="Arial" w:hAnsi="Arial" w:cs="Arial"/>
        </w:rPr>
        <w:t>s</w:t>
      </w:r>
      <w:r w:rsidR="00EB545C">
        <w:rPr>
          <w:rFonts w:ascii="Arial" w:hAnsi="Arial" w:cs="Arial"/>
        </w:rPr>
        <w:t xml:space="preserve"> with</w:t>
      </w:r>
      <w:r w:rsidRPr="004A5DEB">
        <w:rPr>
          <w:rFonts w:ascii="Arial" w:hAnsi="Arial" w:cs="Arial"/>
        </w:rPr>
        <w:t xml:space="preserve"> Lloyd’s work on absence in this special issue, gives us a perspective on information activity that is not always visible when we only address what is </w:t>
      </w:r>
      <w:r w:rsidR="00561A27">
        <w:rPr>
          <w:rFonts w:ascii="Arial" w:hAnsi="Arial" w:cs="Arial"/>
        </w:rPr>
        <w:t>“</w:t>
      </w:r>
      <w:r w:rsidR="00561A27" w:rsidRPr="004A5DEB">
        <w:rPr>
          <w:rFonts w:ascii="Arial" w:hAnsi="Arial" w:cs="Arial"/>
        </w:rPr>
        <w:t>worthy</w:t>
      </w:r>
      <w:r w:rsidR="00561A27">
        <w:rPr>
          <w:rFonts w:ascii="Arial" w:hAnsi="Arial" w:cs="Arial"/>
        </w:rPr>
        <w:t>”</w:t>
      </w:r>
      <w:r w:rsidR="00561A27" w:rsidRPr="004A5DEB">
        <w:rPr>
          <w:rFonts w:ascii="Arial" w:hAnsi="Arial" w:cs="Arial"/>
        </w:rPr>
        <w:t xml:space="preserve"> </w:t>
      </w:r>
      <w:r w:rsidRPr="004A5DEB">
        <w:rPr>
          <w:rFonts w:ascii="Arial" w:hAnsi="Arial" w:cs="Arial"/>
        </w:rPr>
        <w:t xml:space="preserve">of consideration. At the same time, the interconnectedness of the positive and negative space illustrates that an extension of analytical focus to contexts where we might consider there is no valuable information activity to explore supports an awareness of </w:t>
      </w:r>
      <w:r w:rsidR="00561A27">
        <w:rPr>
          <w:rFonts w:ascii="Arial" w:hAnsi="Arial" w:cs="Arial"/>
        </w:rPr>
        <w:t>IL</w:t>
      </w:r>
      <w:r w:rsidRPr="004A5DEB">
        <w:rPr>
          <w:rFonts w:ascii="Arial" w:hAnsi="Arial" w:cs="Arial"/>
        </w:rPr>
        <w:t xml:space="preserve"> (and its discourse) as a whole, including through forcing us to look carefully at what we are activating or centring in our work. </w:t>
      </w:r>
    </w:p>
    <w:p w14:paraId="5E2E3FA1" w14:textId="2442266F" w:rsidR="004A5DEB" w:rsidRPr="004A5DEB" w:rsidRDefault="004A5DEB" w:rsidP="00C9121E">
      <w:pPr>
        <w:spacing w:after="360" w:line="240" w:lineRule="auto"/>
        <w:rPr>
          <w:rFonts w:ascii="Arial" w:hAnsi="Arial" w:cs="Arial"/>
          <w:color w:val="222222"/>
        </w:rPr>
      </w:pPr>
      <w:r w:rsidRPr="004A5DEB">
        <w:rPr>
          <w:rFonts w:ascii="Arial" w:hAnsi="Arial" w:cs="Arial"/>
        </w:rPr>
        <w:t>In sum, the recent move away from exploring “pro-social” information environments (</w:t>
      </w:r>
      <w:proofErr w:type="spellStart"/>
      <w:r w:rsidRPr="004A5DEB">
        <w:rPr>
          <w:rFonts w:ascii="Arial" w:hAnsi="Arial" w:cs="Arial"/>
        </w:rPr>
        <w:t>Linstead</w:t>
      </w:r>
      <w:proofErr w:type="spellEnd"/>
      <w:r w:rsidRPr="004A5DEB">
        <w:rPr>
          <w:rFonts w:ascii="Arial" w:hAnsi="Arial" w:cs="Arial"/>
        </w:rPr>
        <w:t xml:space="preserve"> et al., 2014) has started to challenge the affirmative shape of </w:t>
      </w:r>
      <w:r w:rsidR="005214C1">
        <w:rPr>
          <w:rFonts w:ascii="Arial" w:hAnsi="Arial" w:cs="Arial"/>
        </w:rPr>
        <w:t>IL</w:t>
      </w:r>
      <w:r w:rsidRPr="004A5DEB">
        <w:rPr>
          <w:rFonts w:ascii="Arial" w:hAnsi="Arial" w:cs="Arial"/>
        </w:rPr>
        <w:t xml:space="preserve">, both in terms of its assumed outcomes and established information activities. While suggestions to introduce a more overt focus on the normative or moral dimensions of </w:t>
      </w:r>
      <w:r w:rsidR="005214C1">
        <w:rPr>
          <w:rFonts w:ascii="Arial" w:hAnsi="Arial" w:cs="Arial"/>
        </w:rPr>
        <w:t>IL</w:t>
      </w:r>
      <w:r w:rsidRPr="004A5DEB">
        <w:rPr>
          <w:rFonts w:ascii="Arial" w:hAnsi="Arial" w:cs="Arial"/>
        </w:rPr>
        <w:t xml:space="preserve"> address some of the concerns that arise from the association of information activity with political and social radicalisation, they also introduce a whole swathe of additional issues, including the risk of perpetuating meaningless or even harmful advice when critical thinking becomes weaponised (</w:t>
      </w:r>
      <w:proofErr w:type="spellStart"/>
      <w:r w:rsidRPr="004A5DEB">
        <w:rPr>
          <w:rFonts w:ascii="Arial" w:hAnsi="Arial" w:cs="Arial"/>
        </w:rPr>
        <w:t>boyd</w:t>
      </w:r>
      <w:proofErr w:type="spellEnd"/>
      <w:r w:rsidRPr="004A5DEB">
        <w:rPr>
          <w:rFonts w:ascii="Arial" w:hAnsi="Arial" w:cs="Arial"/>
        </w:rPr>
        <w:t xml:space="preserve">, 2016). In contrast, a focus on negative space creates a unique opportunity to start conversations about the boundaries and logics of </w:t>
      </w:r>
      <w:r w:rsidR="005214C1">
        <w:rPr>
          <w:rFonts w:ascii="Arial" w:hAnsi="Arial" w:cs="Arial"/>
        </w:rPr>
        <w:t>IL</w:t>
      </w:r>
      <w:r w:rsidRPr="004A5DEB">
        <w:rPr>
          <w:rFonts w:ascii="Arial" w:hAnsi="Arial" w:cs="Arial"/>
        </w:rPr>
        <w:t xml:space="preserve"> practice, including a consideration of what current discourse closes us off to as well as what it </w:t>
      </w:r>
      <w:proofErr w:type="gramStart"/>
      <w:r w:rsidRPr="004A5DEB">
        <w:rPr>
          <w:rFonts w:ascii="Arial" w:hAnsi="Arial" w:cs="Arial"/>
        </w:rPr>
        <w:t>opens up</w:t>
      </w:r>
      <w:proofErr w:type="gramEnd"/>
      <w:r w:rsidRPr="004A5DEB">
        <w:rPr>
          <w:rFonts w:ascii="Arial" w:hAnsi="Arial" w:cs="Arial"/>
        </w:rPr>
        <w:t xml:space="preserve">. These conversations will not be easy, not least because a focus on anti-social behaviour introduces additional methodological considerations, including how we explore </w:t>
      </w:r>
      <w:r w:rsidRPr="004A5DEB">
        <w:rPr>
          <w:rFonts w:ascii="Arial" w:hAnsi="Arial" w:cs="Arial"/>
        </w:rPr>
        <w:lastRenderedPageBreak/>
        <w:t xml:space="preserve">sensitive issues reflexively rather than voyeuristically. However, as Burnett and Lloyd (2020) point out, if we continue to position information as something that makes a difference (Bateson, 1972) then we must be open to this difference being discordant as well as co-operative. If </w:t>
      </w:r>
      <w:r w:rsidR="005214C1">
        <w:rPr>
          <w:rFonts w:ascii="Arial" w:hAnsi="Arial" w:cs="Arial"/>
        </w:rPr>
        <w:t>IL</w:t>
      </w:r>
      <w:r w:rsidRPr="004A5DEB">
        <w:rPr>
          <w:rFonts w:ascii="Arial" w:hAnsi="Arial" w:cs="Arial"/>
        </w:rPr>
        <w:t xml:space="preserve">, too, is to create change then we must be similarly receptive to what lies outside our current frame of reference, including troublesome political and ideological concerns. </w:t>
      </w:r>
    </w:p>
    <w:p w14:paraId="5C101CC3" w14:textId="77777777" w:rsidR="0034022B" w:rsidRPr="00963D85" w:rsidRDefault="0034022B" w:rsidP="0034022B">
      <w:pPr>
        <w:spacing w:after="200" w:line="240" w:lineRule="auto"/>
        <w:rPr>
          <w:rFonts w:ascii="Arial" w:hAnsi="Arial" w:cs="Arial"/>
          <w:b/>
          <w:bCs/>
          <w:sz w:val="28"/>
          <w:szCs w:val="28"/>
        </w:rPr>
      </w:pPr>
      <w:r w:rsidRPr="00963D85">
        <w:rPr>
          <w:rFonts w:ascii="Arial" w:hAnsi="Arial" w:cs="Arial"/>
          <w:b/>
          <w:bCs/>
          <w:sz w:val="28"/>
          <w:szCs w:val="28"/>
        </w:rPr>
        <w:t>Declarations</w:t>
      </w:r>
    </w:p>
    <w:p w14:paraId="712C4113" w14:textId="77777777" w:rsidR="0034022B" w:rsidRPr="00963D85" w:rsidRDefault="0034022B" w:rsidP="0034022B">
      <w:pPr>
        <w:spacing w:before="80" w:after="120" w:line="240" w:lineRule="auto"/>
        <w:rPr>
          <w:rFonts w:ascii="Arial" w:hAnsi="Arial" w:cs="Arial"/>
          <w:b/>
          <w:sz w:val="24"/>
          <w:szCs w:val="24"/>
        </w:rPr>
      </w:pPr>
      <w:r w:rsidRPr="00963D85">
        <w:rPr>
          <w:rFonts w:ascii="Arial" w:hAnsi="Arial" w:cs="Arial"/>
          <w:b/>
          <w:sz w:val="24"/>
          <w:szCs w:val="24"/>
        </w:rPr>
        <w:t xml:space="preserve">Ethics approval </w:t>
      </w:r>
    </w:p>
    <w:p w14:paraId="49C966BE" w14:textId="77777777" w:rsidR="0034022B" w:rsidRPr="00963D85" w:rsidRDefault="0034022B" w:rsidP="0034022B">
      <w:pPr>
        <w:spacing w:after="0" w:line="240" w:lineRule="auto"/>
        <w:rPr>
          <w:rFonts w:ascii="Arial" w:hAnsi="Arial" w:cs="Arial"/>
        </w:rPr>
      </w:pPr>
      <w:r w:rsidRPr="00963D85">
        <w:rPr>
          <w:rFonts w:ascii="Arial" w:hAnsi="Arial" w:cs="Arial"/>
        </w:rPr>
        <w:t>Ethical review was not considered necessary in alignment with guidance at University College London on the conduct of ethical research.</w:t>
      </w:r>
    </w:p>
    <w:p w14:paraId="4E777624" w14:textId="77777777" w:rsidR="0034022B" w:rsidRPr="00963D85" w:rsidRDefault="0034022B" w:rsidP="0034022B">
      <w:pPr>
        <w:spacing w:after="0" w:line="240" w:lineRule="auto"/>
        <w:rPr>
          <w:rFonts w:ascii="Arial" w:hAnsi="Arial" w:cs="Arial"/>
        </w:rPr>
      </w:pPr>
      <w:r w:rsidRPr="00963D85">
        <w:rPr>
          <w:rFonts w:ascii="Arial" w:hAnsi="Arial" w:cs="Arial"/>
        </w:rPr>
        <w:t xml:space="preserve"> </w:t>
      </w:r>
    </w:p>
    <w:p w14:paraId="57FC2B3A" w14:textId="77777777" w:rsidR="0034022B" w:rsidRPr="00963D85" w:rsidRDefault="0034022B" w:rsidP="00C9121E">
      <w:pPr>
        <w:spacing w:after="120" w:line="240" w:lineRule="auto"/>
        <w:rPr>
          <w:rFonts w:ascii="Arial" w:hAnsi="Arial" w:cs="Arial"/>
          <w:b/>
          <w:sz w:val="24"/>
          <w:szCs w:val="24"/>
        </w:rPr>
      </w:pPr>
      <w:r w:rsidRPr="00963D85">
        <w:rPr>
          <w:rFonts w:ascii="Arial" w:hAnsi="Arial" w:cs="Arial"/>
          <w:b/>
          <w:sz w:val="24"/>
          <w:szCs w:val="24"/>
        </w:rPr>
        <w:t>Funding</w:t>
      </w:r>
    </w:p>
    <w:p w14:paraId="00133C59" w14:textId="77777777" w:rsidR="0034022B" w:rsidRPr="00963D85" w:rsidRDefault="0034022B" w:rsidP="0034022B">
      <w:pPr>
        <w:spacing w:after="0" w:line="240" w:lineRule="auto"/>
        <w:rPr>
          <w:rFonts w:ascii="Arial" w:hAnsi="Arial" w:cs="Arial"/>
        </w:rPr>
      </w:pPr>
      <w:r w:rsidRPr="00963D85">
        <w:rPr>
          <w:rFonts w:ascii="Arial" w:hAnsi="Arial" w:cs="Arial"/>
        </w:rPr>
        <w:t>Not applicable</w:t>
      </w:r>
      <w:r>
        <w:rPr>
          <w:rFonts w:ascii="Arial" w:hAnsi="Arial" w:cs="Arial"/>
        </w:rPr>
        <w:t>.</w:t>
      </w:r>
    </w:p>
    <w:p w14:paraId="7CFEC180" w14:textId="77777777" w:rsidR="0034022B" w:rsidRPr="00963D85" w:rsidRDefault="0034022B" w:rsidP="0034022B">
      <w:pPr>
        <w:spacing w:after="0" w:line="240" w:lineRule="auto"/>
        <w:rPr>
          <w:rFonts w:ascii="Arial" w:hAnsi="Arial" w:cs="Arial"/>
        </w:rPr>
      </w:pPr>
    </w:p>
    <w:p w14:paraId="54523AEB" w14:textId="77777777" w:rsidR="0034022B" w:rsidRPr="00963D85" w:rsidRDefault="0034022B" w:rsidP="00C9121E">
      <w:pPr>
        <w:spacing w:after="120" w:line="240" w:lineRule="auto"/>
        <w:rPr>
          <w:rFonts w:ascii="Arial" w:hAnsi="Arial" w:cs="Arial"/>
          <w:b/>
          <w:sz w:val="24"/>
          <w:szCs w:val="24"/>
        </w:rPr>
      </w:pPr>
      <w:r w:rsidRPr="00963D85">
        <w:rPr>
          <w:rFonts w:ascii="Arial" w:hAnsi="Arial" w:cs="Arial"/>
          <w:b/>
          <w:sz w:val="24"/>
          <w:szCs w:val="24"/>
        </w:rPr>
        <w:t>AI-generated content</w:t>
      </w:r>
    </w:p>
    <w:p w14:paraId="2F4BDE87" w14:textId="4F96ACF7" w:rsidR="004A5DEB" w:rsidRPr="00C9121E" w:rsidRDefault="0034022B" w:rsidP="00C9121E">
      <w:pPr>
        <w:spacing w:after="360" w:line="240" w:lineRule="auto"/>
        <w:rPr>
          <w:rFonts w:ascii="Arial" w:hAnsi="Arial" w:cs="Arial"/>
          <w:lang w:val="en-US"/>
        </w:rPr>
      </w:pPr>
      <w:r w:rsidRPr="00963D85">
        <w:rPr>
          <w:rFonts w:ascii="Arial" w:hAnsi="Arial" w:cs="Arial"/>
          <w:lang w:val="en-US"/>
        </w:rPr>
        <w:t>No AI tools were used</w:t>
      </w:r>
      <w:r>
        <w:rPr>
          <w:rFonts w:ascii="Arial" w:hAnsi="Arial" w:cs="Arial"/>
          <w:lang w:val="en-US"/>
        </w:rPr>
        <w:t>.</w:t>
      </w:r>
    </w:p>
    <w:p w14:paraId="4EE7AB80" w14:textId="77777777" w:rsidR="004A5DEB" w:rsidRPr="00543486" w:rsidRDefault="004A5DEB" w:rsidP="004A5DEB">
      <w:pPr>
        <w:spacing w:after="200" w:line="240" w:lineRule="auto"/>
        <w:rPr>
          <w:rFonts w:ascii="Arial" w:hAnsi="Arial" w:cs="Arial"/>
          <w:b/>
          <w:color w:val="000000" w:themeColor="text1"/>
          <w:sz w:val="28"/>
          <w:szCs w:val="28"/>
          <w:lang w:val="es-CO"/>
        </w:rPr>
      </w:pPr>
      <w:proofErr w:type="spellStart"/>
      <w:r w:rsidRPr="00543486">
        <w:rPr>
          <w:rFonts w:ascii="Arial" w:hAnsi="Arial" w:cs="Arial"/>
          <w:b/>
          <w:color w:val="000000" w:themeColor="text1"/>
          <w:sz w:val="28"/>
          <w:szCs w:val="28"/>
          <w:lang w:val="es-CO"/>
        </w:rPr>
        <w:t>References</w:t>
      </w:r>
      <w:proofErr w:type="spellEnd"/>
    </w:p>
    <w:p w14:paraId="24DEF614" w14:textId="77777777" w:rsidR="004A5DEB" w:rsidRPr="0041048B" w:rsidRDefault="004A5DEB" w:rsidP="0041048B">
      <w:pPr>
        <w:spacing w:after="0" w:line="240" w:lineRule="auto"/>
        <w:rPr>
          <w:rFonts w:ascii="Arial" w:hAnsi="Arial" w:cs="Arial"/>
          <w:i/>
        </w:rPr>
      </w:pPr>
      <w:r w:rsidRPr="0041048B">
        <w:rPr>
          <w:rFonts w:ascii="Arial" w:hAnsi="Arial" w:cs="Arial"/>
        </w:rPr>
        <w:t xml:space="preserve">Association of College &amp; Research Libraries (ACRL) (2016). </w:t>
      </w:r>
      <w:r w:rsidRPr="0041048B">
        <w:rPr>
          <w:rFonts w:ascii="Arial" w:hAnsi="Arial" w:cs="Arial"/>
          <w:i/>
        </w:rPr>
        <w:t xml:space="preserve">Framework for Information Literacy </w:t>
      </w:r>
    </w:p>
    <w:p w14:paraId="1893317D" w14:textId="3731CAC3" w:rsidR="004A5DEB" w:rsidRPr="0041048B" w:rsidRDefault="004A5DEB" w:rsidP="0041048B">
      <w:pPr>
        <w:spacing w:after="0" w:line="240" w:lineRule="auto"/>
        <w:ind w:firstLine="720"/>
        <w:rPr>
          <w:rFonts w:ascii="Arial" w:hAnsi="Arial" w:cs="Arial"/>
        </w:rPr>
      </w:pPr>
      <w:r w:rsidRPr="0041048B">
        <w:rPr>
          <w:rFonts w:ascii="Arial" w:hAnsi="Arial" w:cs="Arial"/>
          <w:i/>
        </w:rPr>
        <w:t xml:space="preserve">for </w:t>
      </w:r>
      <w:r w:rsidR="005214C1" w:rsidRPr="0041048B">
        <w:rPr>
          <w:rFonts w:ascii="Arial" w:hAnsi="Arial" w:cs="Arial"/>
          <w:i/>
        </w:rPr>
        <w:t>higher education</w:t>
      </w:r>
      <w:r w:rsidRPr="0041048B">
        <w:rPr>
          <w:rFonts w:ascii="Arial" w:hAnsi="Arial" w:cs="Arial"/>
        </w:rPr>
        <w:t xml:space="preserve">. Association of College &amp; Research Libraries (ACRL). </w:t>
      </w:r>
    </w:p>
    <w:p w14:paraId="448BDF2D" w14:textId="77777777" w:rsidR="004A5DEB" w:rsidRPr="0041048B" w:rsidRDefault="004A5DEB" w:rsidP="0041048B">
      <w:pPr>
        <w:spacing w:after="0" w:line="240" w:lineRule="auto"/>
        <w:ind w:firstLine="720"/>
        <w:rPr>
          <w:rFonts w:ascii="Arial" w:hAnsi="Arial" w:cs="Arial"/>
        </w:rPr>
      </w:pPr>
    </w:p>
    <w:p w14:paraId="61DE422E" w14:textId="39F795DA" w:rsidR="004A5DEB" w:rsidRPr="0041048B" w:rsidRDefault="004A5DEB" w:rsidP="0041048B">
      <w:pPr>
        <w:spacing w:after="0" w:line="240" w:lineRule="auto"/>
        <w:rPr>
          <w:rFonts w:ascii="Arial" w:hAnsi="Arial" w:cs="Arial"/>
          <w:i/>
        </w:rPr>
      </w:pPr>
      <w:r w:rsidRPr="0041048B">
        <w:rPr>
          <w:rFonts w:ascii="Arial" w:hAnsi="Arial" w:cs="Arial"/>
        </w:rPr>
        <w:t xml:space="preserve">Bateson, G. (1972), </w:t>
      </w:r>
      <w:r w:rsidRPr="0041048B">
        <w:rPr>
          <w:rFonts w:ascii="Arial" w:hAnsi="Arial" w:cs="Arial"/>
          <w:i/>
        </w:rPr>
        <w:t xml:space="preserve">Steps to an </w:t>
      </w:r>
      <w:r w:rsidR="005214C1" w:rsidRPr="0041048B">
        <w:rPr>
          <w:rFonts w:ascii="Arial" w:hAnsi="Arial" w:cs="Arial"/>
          <w:i/>
        </w:rPr>
        <w:t xml:space="preserve">ecology </w:t>
      </w:r>
      <w:r w:rsidRPr="0041048B">
        <w:rPr>
          <w:rFonts w:ascii="Arial" w:hAnsi="Arial" w:cs="Arial"/>
          <w:i/>
        </w:rPr>
        <w:t xml:space="preserve">of </w:t>
      </w:r>
      <w:r w:rsidR="005214C1" w:rsidRPr="0041048B">
        <w:rPr>
          <w:rFonts w:ascii="Arial" w:hAnsi="Arial" w:cs="Arial"/>
          <w:i/>
        </w:rPr>
        <w:t>mind</w:t>
      </w:r>
      <w:r w:rsidRPr="0041048B">
        <w:rPr>
          <w:rFonts w:ascii="Arial" w:hAnsi="Arial" w:cs="Arial"/>
          <w:i/>
        </w:rPr>
        <w:t xml:space="preserve">: Collected </w:t>
      </w:r>
      <w:r w:rsidR="005214C1" w:rsidRPr="0041048B">
        <w:rPr>
          <w:rFonts w:ascii="Arial" w:hAnsi="Arial" w:cs="Arial"/>
          <w:i/>
        </w:rPr>
        <w:t xml:space="preserve">essays </w:t>
      </w:r>
      <w:r w:rsidRPr="0041048B">
        <w:rPr>
          <w:rFonts w:ascii="Arial" w:hAnsi="Arial" w:cs="Arial"/>
          <w:i/>
        </w:rPr>
        <w:t xml:space="preserve">in </w:t>
      </w:r>
      <w:r w:rsidR="005214C1" w:rsidRPr="0041048B">
        <w:rPr>
          <w:rFonts w:ascii="Arial" w:hAnsi="Arial" w:cs="Arial"/>
          <w:i/>
        </w:rPr>
        <w:t>anthropology</w:t>
      </w:r>
      <w:r w:rsidRPr="0041048B">
        <w:rPr>
          <w:rFonts w:ascii="Arial" w:hAnsi="Arial" w:cs="Arial"/>
          <w:i/>
        </w:rPr>
        <w:t xml:space="preserve">, </w:t>
      </w:r>
      <w:r w:rsidR="005214C1" w:rsidRPr="0041048B">
        <w:rPr>
          <w:rFonts w:ascii="Arial" w:hAnsi="Arial" w:cs="Arial"/>
          <w:i/>
        </w:rPr>
        <w:t>psychiatry</w:t>
      </w:r>
      <w:r w:rsidRPr="0041048B">
        <w:rPr>
          <w:rFonts w:ascii="Arial" w:hAnsi="Arial" w:cs="Arial"/>
          <w:i/>
        </w:rPr>
        <w:t xml:space="preserve">, </w:t>
      </w:r>
    </w:p>
    <w:p w14:paraId="269DBA46" w14:textId="6D059A2B" w:rsidR="004A5DEB" w:rsidRPr="0041048B" w:rsidRDefault="005214C1" w:rsidP="0041048B">
      <w:pPr>
        <w:spacing w:after="0" w:line="240" w:lineRule="auto"/>
        <w:ind w:firstLine="720"/>
        <w:rPr>
          <w:rFonts w:ascii="Arial" w:hAnsi="Arial" w:cs="Arial"/>
        </w:rPr>
      </w:pPr>
      <w:r w:rsidRPr="0041048B">
        <w:rPr>
          <w:rFonts w:ascii="Arial" w:hAnsi="Arial" w:cs="Arial"/>
          <w:i/>
        </w:rPr>
        <w:t>evolution</w:t>
      </w:r>
      <w:r w:rsidR="004A5DEB" w:rsidRPr="0041048B">
        <w:rPr>
          <w:rFonts w:ascii="Arial" w:hAnsi="Arial" w:cs="Arial"/>
          <w:i/>
        </w:rPr>
        <w:t xml:space="preserve">, and </w:t>
      </w:r>
      <w:r w:rsidRPr="0041048B">
        <w:rPr>
          <w:rFonts w:ascii="Arial" w:hAnsi="Arial" w:cs="Arial"/>
          <w:i/>
        </w:rPr>
        <w:t>epistemology</w:t>
      </w:r>
      <w:r w:rsidR="004A5DEB" w:rsidRPr="0041048B">
        <w:rPr>
          <w:rFonts w:ascii="Arial" w:hAnsi="Arial" w:cs="Arial"/>
        </w:rPr>
        <w:t>. University of Chicago Press.</w:t>
      </w:r>
    </w:p>
    <w:p w14:paraId="4EDB81C2" w14:textId="77777777" w:rsidR="004A5DEB" w:rsidRPr="0041048B" w:rsidRDefault="004A5DEB" w:rsidP="0041048B">
      <w:pPr>
        <w:spacing w:after="0" w:line="240" w:lineRule="auto"/>
        <w:ind w:firstLine="720"/>
        <w:rPr>
          <w:rFonts w:ascii="Arial" w:hAnsi="Arial" w:cs="Arial"/>
        </w:rPr>
      </w:pPr>
    </w:p>
    <w:p w14:paraId="0BFFE7EC" w14:textId="5403B19F" w:rsidR="004A5DEB" w:rsidRPr="0041048B" w:rsidRDefault="004A5DEB" w:rsidP="0041048B">
      <w:pPr>
        <w:spacing w:after="0" w:line="240" w:lineRule="auto"/>
        <w:rPr>
          <w:rFonts w:ascii="Arial" w:hAnsi="Arial" w:cs="Arial"/>
          <w:i/>
        </w:rPr>
      </w:pPr>
      <w:r w:rsidRPr="0041048B">
        <w:rPr>
          <w:rFonts w:ascii="Arial" w:hAnsi="Arial" w:cs="Arial"/>
        </w:rPr>
        <w:t xml:space="preserve">Bivens Tatum, W. (2022). </w:t>
      </w:r>
      <w:r w:rsidRPr="0041048B">
        <w:rPr>
          <w:rFonts w:ascii="Arial" w:hAnsi="Arial" w:cs="Arial"/>
          <w:i/>
        </w:rPr>
        <w:t xml:space="preserve">Virtue Information Literacy: Flourishing in an </w:t>
      </w:r>
      <w:r w:rsidR="005214C1" w:rsidRPr="0041048B">
        <w:rPr>
          <w:rFonts w:ascii="Arial" w:hAnsi="Arial" w:cs="Arial"/>
          <w:i/>
        </w:rPr>
        <w:t xml:space="preserve">age </w:t>
      </w:r>
      <w:r w:rsidRPr="0041048B">
        <w:rPr>
          <w:rFonts w:ascii="Arial" w:hAnsi="Arial" w:cs="Arial"/>
          <w:i/>
        </w:rPr>
        <w:t xml:space="preserve">of </w:t>
      </w:r>
      <w:r w:rsidR="005214C1" w:rsidRPr="0041048B">
        <w:rPr>
          <w:rFonts w:ascii="Arial" w:hAnsi="Arial" w:cs="Arial"/>
          <w:i/>
        </w:rPr>
        <w:t xml:space="preserve">information </w:t>
      </w:r>
    </w:p>
    <w:p w14:paraId="73711010" w14:textId="60F6AF5C" w:rsidR="004A5DEB" w:rsidRPr="0041048B" w:rsidRDefault="005214C1" w:rsidP="0041048B">
      <w:pPr>
        <w:spacing w:after="0" w:line="240" w:lineRule="auto"/>
        <w:ind w:firstLine="720"/>
        <w:rPr>
          <w:rFonts w:ascii="Arial" w:hAnsi="Arial" w:cs="Arial"/>
        </w:rPr>
      </w:pPr>
      <w:r w:rsidRPr="0041048B">
        <w:rPr>
          <w:rFonts w:ascii="Arial" w:hAnsi="Arial" w:cs="Arial"/>
          <w:i/>
        </w:rPr>
        <w:t>anarchy</w:t>
      </w:r>
      <w:r w:rsidR="004A5DEB" w:rsidRPr="0041048B">
        <w:rPr>
          <w:rFonts w:ascii="Arial" w:hAnsi="Arial" w:cs="Arial"/>
        </w:rPr>
        <w:t xml:space="preserve">. Library Juice Press. </w:t>
      </w:r>
    </w:p>
    <w:p w14:paraId="69DCDB00" w14:textId="77777777" w:rsidR="004A5DEB" w:rsidRPr="0041048B" w:rsidRDefault="004A5DEB" w:rsidP="0041048B">
      <w:pPr>
        <w:spacing w:after="0" w:line="240" w:lineRule="auto"/>
        <w:ind w:firstLine="720"/>
        <w:rPr>
          <w:rFonts w:ascii="Arial" w:hAnsi="Arial" w:cs="Arial"/>
        </w:rPr>
      </w:pPr>
    </w:p>
    <w:p w14:paraId="53823304" w14:textId="7B496C07" w:rsidR="004A5DEB" w:rsidRPr="0041048B" w:rsidRDefault="005214C1" w:rsidP="0041048B">
      <w:pPr>
        <w:spacing w:after="0" w:line="240" w:lineRule="auto"/>
        <w:rPr>
          <w:rFonts w:ascii="Arial" w:hAnsi="Arial" w:cs="Arial"/>
        </w:rPr>
      </w:pPr>
      <w:proofErr w:type="spellStart"/>
      <w:r w:rsidRPr="0041048B">
        <w:rPr>
          <w:rFonts w:ascii="Arial" w:hAnsi="Arial" w:cs="Arial"/>
        </w:rPr>
        <w:t>boyd</w:t>
      </w:r>
      <w:proofErr w:type="spellEnd"/>
      <w:r w:rsidR="004A5DEB" w:rsidRPr="0041048B">
        <w:rPr>
          <w:rFonts w:ascii="Arial" w:hAnsi="Arial" w:cs="Arial"/>
        </w:rPr>
        <w:t xml:space="preserve">, d. (2018). </w:t>
      </w:r>
      <w:hyperlink r:id="rId14" w:history="1">
        <w:r w:rsidR="004A5DEB" w:rsidRPr="0041048B">
          <w:rPr>
            <w:rStyle w:val="Hyperlink"/>
            <w:rFonts w:ascii="Arial" w:hAnsi="Arial" w:cs="Arial"/>
          </w:rPr>
          <w:t xml:space="preserve">You </w:t>
        </w:r>
        <w:r w:rsidRPr="0041048B">
          <w:rPr>
            <w:rStyle w:val="Hyperlink"/>
            <w:rFonts w:ascii="Arial" w:hAnsi="Arial" w:cs="Arial"/>
          </w:rPr>
          <w:t>think you want media l</w:t>
        </w:r>
        <w:r w:rsidR="004A5DEB" w:rsidRPr="0041048B">
          <w:rPr>
            <w:rStyle w:val="Hyperlink"/>
            <w:rFonts w:ascii="Arial" w:hAnsi="Arial" w:cs="Arial"/>
          </w:rPr>
          <w:t>iteracy</w:t>
        </w:r>
        <w:r w:rsidRPr="0041048B">
          <w:rPr>
            <w:rStyle w:val="Hyperlink"/>
            <w:rFonts w:ascii="Arial" w:hAnsi="Arial" w:cs="Arial"/>
          </w:rPr>
          <w:t xml:space="preserve"> …</w:t>
        </w:r>
        <w:r w:rsidR="004A5DEB" w:rsidRPr="0041048B">
          <w:rPr>
            <w:rStyle w:val="Hyperlink"/>
            <w:rFonts w:ascii="Arial" w:hAnsi="Arial" w:cs="Arial"/>
          </w:rPr>
          <w:t xml:space="preserve"> Do </w:t>
        </w:r>
        <w:r w:rsidRPr="0041048B">
          <w:rPr>
            <w:rStyle w:val="Hyperlink"/>
            <w:rFonts w:ascii="Arial" w:hAnsi="Arial" w:cs="Arial"/>
          </w:rPr>
          <w:t>you</w:t>
        </w:r>
        <w:r w:rsidR="004A5DEB" w:rsidRPr="0041048B">
          <w:rPr>
            <w:rStyle w:val="Hyperlink"/>
            <w:rFonts w:ascii="Arial" w:hAnsi="Arial" w:cs="Arial"/>
          </w:rPr>
          <w:t>?</w:t>
        </w:r>
      </w:hyperlink>
      <w:r w:rsidR="004C4D0B" w:rsidRPr="0041048B">
        <w:rPr>
          <w:rFonts w:ascii="Arial" w:hAnsi="Arial" w:cs="Arial"/>
        </w:rPr>
        <w:t xml:space="preserve"> danah.org</w:t>
      </w:r>
      <w:r w:rsidR="004A5DEB" w:rsidRPr="0041048B">
        <w:rPr>
          <w:rFonts w:ascii="Arial" w:hAnsi="Arial" w:cs="Arial"/>
        </w:rPr>
        <w:t xml:space="preserve"> </w:t>
      </w:r>
    </w:p>
    <w:p w14:paraId="6C6640C3" w14:textId="77777777" w:rsidR="004A5DEB" w:rsidRPr="0041048B" w:rsidRDefault="004A5DEB" w:rsidP="0041048B">
      <w:pPr>
        <w:spacing w:after="0" w:line="240" w:lineRule="auto"/>
        <w:ind w:firstLine="720"/>
        <w:rPr>
          <w:rFonts w:ascii="Arial" w:hAnsi="Arial" w:cs="Arial"/>
        </w:rPr>
      </w:pPr>
    </w:p>
    <w:p w14:paraId="51914B75" w14:textId="18E7856F" w:rsidR="004A5DEB" w:rsidRPr="0041048B" w:rsidRDefault="004A5DEB" w:rsidP="0041048B">
      <w:pPr>
        <w:spacing w:after="0" w:line="240" w:lineRule="auto"/>
        <w:rPr>
          <w:rFonts w:ascii="Arial" w:hAnsi="Arial" w:cs="Arial"/>
        </w:rPr>
      </w:pPr>
      <w:r w:rsidRPr="0041048B">
        <w:rPr>
          <w:rFonts w:ascii="Arial" w:hAnsi="Arial" w:cs="Arial"/>
        </w:rPr>
        <w:t xml:space="preserve">Brandt, D. (2004). </w:t>
      </w:r>
      <w:hyperlink r:id="rId15" w:history="1">
        <w:r w:rsidRPr="0041048B">
          <w:rPr>
            <w:rStyle w:val="Hyperlink"/>
            <w:rFonts w:ascii="Arial" w:hAnsi="Arial" w:cs="Arial"/>
          </w:rPr>
          <w:t>Drafting US literacy</w:t>
        </w:r>
      </w:hyperlink>
      <w:r w:rsidRPr="0041048B">
        <w:rPr>
          <w:rFonts w:ascii="Arial" w:hAnsi="Arial" w:cs="Arial"/>
        </w:rPr>
        <w:t xml:space="preserve">. </w:t>
      </w:r>
      <w:r w:rsidRPr="0041048B">
        <w:rPr>
          <w:rFonts w:ascii="Arial" w:hAnsi="Arial" w:cs="Arial"/>
          <w:i/>
        </w:rPr>
        <w:t>College English, 66</w:t>
      </w:r>
      <w:r w:rsidRPr="0041048B">
        <w:rPr>
          <w:rFonts w:ascii="Arial" w:hAnsi="Arial" w:cs="Arial"/>
        </w:rPr>
        <w:t>(5), 485</w:t>
      </w:r>
      <w:r w:rsidR="004C4D0B" w:rsidRPr="0041048B">
        <w:rPr>
          <w:rFonts w:ascii="Arial" w:hAnsi="Arial" w:cs="Arial"/>
        </w:rPr>
        <w:t>–</w:t>
      </w:r>
      <w:r w:rsidRPr="0041048B">
        <w:rPr>
          <w:rFonts w:ascii="Arial" w:hAnsi="Arial" w:cs="Arial"/>
        </w:rPr>
        <w:t>502.</w:t>
      </w:r>
    </w:p>
    <w:p w14:paraId="1338FCA7" w14:textId="77777777" w:rsidR="004A5DEB" w:rsidRPr="0041048B" w:rsidRDefault="004A5DEB" w:rsidP="0041048B">
      <w:pPr>
        <w:spacing w:after="0" w:line="240" w:lineRule="auto"/>
        <w:rPr>
          <w:rFonts w:ascii="Arial" w:hAnsi="Arial" w:cs="Arial"/>
        </w:rPr>
      </w:pPr>
    </w:p>
    <w:p w14:paraId="4E08AD68" w14:textId="2E2E1D34" w:rsidR="004A5DEB" w:rsidRPr="0041048B" w:rsidRDefault="004A5DEB" w:rsidP="0041048B">
      <w:pPr>
        <w:spacing w:after="0" w:line="240" w:lineRule="auto"/>
        <w:rPr>
          <w:rFonts w:ascii="Arial" w:hAnsi="Arial" w:cs="Arial"/>
        </w:rPr>
      </w:pPr>
      <w:r w:rsidRPr="0041048B">
        <w:rPr>
          <w:rFonts w:ascii="Arial" w:hAnsi="Arial" w:cs="Arial"/>
        </w:rPr>
        <w:t xml:space="preserve">Brook P. (2008). </w:t>
      </w:r>
      <w:r w:rsidRPr="0041048B">
        <w:rPr>
          <w:rFonts w:ascii="Arial" w:hAnsi="Arial" w:cs="Arial"/>
          <w:i/>
        </w:rPr>
        <w:t>The Empty Space</w:t>
      </w:r>
      <w:r w:rsidRPr="0041048B">
        <w:rPr>
          <w:rFonts w:ascii="Arial" w:hAnsi="Arial" w:cs="Arial"/>
        </w:rPr>
        <w:t xml:space="preserve">. Penguin. </w:t>
      </w:r>
      <w:r w:rsidR="004C4D0B" w:rsidRPr="0041048B">
        <w:rPr>
          <w:rFonts w:ascii="Arial" w:hAnsi="Arial" w:cs="Arial"/>
        </w:rPr>
        <w:t>(Original work published 1968)</w:t>
      </w:r>
    </w:p>
    <w:p w14:paraId="3E43F597" w14:textId="77777777" w:rsidR="004A5DEB" w:rsidRPr="0041048B" w:rsidRDefault="004A5DEB" w:rsidP="0041048B">
      <w:pPr>
        <w:spacing w:after="0" w:line="240" w:lineRule="auto"/>
        <w:rPr>
          <w:rFonts w:ascii="Arial" w:hAnsi="Arial" w:cs="Arial"/>
        </w:rPr>
      </w:pPr>
    </w:p>
    <w:p w14:paraId="3DF149D2" w14:textId="6A368429" w:rsidR="004A5DEB" w:rsidRPr="0041048B" w:rsidRDefault="004A5DEB" w:rsidP="0041048B">
      <w:pPr>
        <w:spacing w:after="0" w:line="240" w:lineRule="auto"/>
        <w:rPr>
          <w:rFonts w:ascii="Arial" w:hAnsi="Arial" w:cs="Arial"/>
        </w:rPr>
      </w:pPr>
      <w:proofErr w:type="spellStart"/>
      <w:r w:rsidRPr="0041048B">
        <w:rPr>
          <w:rFonts w:ascii="Arial" w:hAnsi="Arial" w:cs="Arial"/>
        </w:rPr>
        <w:t>Buetow</w:t>
      </w:r>
      <w:proofErr w:type="spellEnd"/>
      <w:r w:rsidRPr="0041048B">
        <w:rPr>
          <w:rFonts w:ascii="Arial" w:hAnsi="Arial" w:cs="Arial"/>
        </w:rPr>
        <w:t xml:space="preserve">, S. A. (2009). </w:t>
      </w:r>
      <w:hyperlink r:id="rId16" w:history="1">
        <w:r w:rsidRPr="0041048B">
          <w:rPr>
            <w:rStyle w:val="Hyperlink"/>
            <w:rFonts w:ascii="Arial" w:hAnsi="Arial" w:cs="Arial"/>
          </w:rPr>
          <w:t>Something in nothing: Negative space in the clinician-patient relationship</w:t>
        </w:r>
      </w:hyperlink>
      <w:r w:rsidRPr="0041048B">
        <w:rPr>
          <w:rFonts w:ascii="Arial" w:hAnsi="Arial" w:cs="Arial"/>
        </w:rPr>
        <w:t xml:space="preserve">. </w:t>
      </w:r>
    </w:p>
    <w:p w14:paraId="6CA9CB5D" w14:textId="729C5D63" w:rsidR="004A5DEB" w:rsidRPr="0041048B" w:rsidRDefault="004A5DEB" w:rsidP="0041048B">
      <w:pPr>
        <w:spacing w:after="0" w:line="240" w:lineRule="auto"/>
        <w:ind w:firstLine="720"/>
        <w:rPr>
          <w:rFonts w:ascii="Arial" w:hAnsi="Arial" w:cs="Arial"/>
        </w:rPr>
      </w:pPr>
      <w:r w:rsidRPr="0041048B">
        <w:rPr>
          <w:rFonts w:ascii="Arial" w:hAnsi="Arial" w:cs="Arial"/>
          <w:i/>
        </w:rPr>
        <w:t>The Annals of Family Medicine</w:t>
      </w:r>
      <w:r w:rsidRPr="0041048B">
        <w:rPr>
          <w:rFonts w:ascii="Arial" w:hAnsi="Arial" w:cs="Arial"/>
        </w:rPr>
        <w:t xml:space="preserve">, </w:t>
      </w:r>
      <w:r w:rsidRPr="0041048B">
        <w:rPr>
          <w:rFonts w:ascii="Arial" w:hAnsi="Arial" w:cs="Arial"/>
          <w:i/>
        </w:rPr>
        <w:t>7</w:t>
      </w:r>
      <w:r w:rsidRPr="0041048B">
        <w:rPr>
          <w:rFonts w:ascii="Arial" w:hAnsi="Arial" w:cs="Arial"/>
        </w:rPr>
        <w:t>(1), 80</w:t>
      </w:r>
      <w:r w:rsidR="004C4D0B" w:rsidRPr="0041048B">
        <w:rPr>
          <w:rFonts w:ascii="Arial" w:hAnsi="Arial" w:cs="Arial"/>
        </w:rPr>
        <w:t>–</w:t>
      </w:r>
      <w:r w:rsidRPr="0041048B">
        <w:rPr>
          <w:rFonts w:ascii="Arial" w:hAnsi="Arial" w:cs="Arial"/>
        </w:rPr>
        <w:t>83.</w:t>
      </w:r>
    </w:p>
    <w:p w14:paraId="139A21E7" w14:textId="77777777" w:rsidR="004A5DEB" w:rsidRPr="0041048B" w:rsidRDefault="004A5DEB" w:rsidP="0041048B">
      <w:pPr>
        <w:spacing w:after="0" w:line="240" w:lineRule="auto"/>
        <w:ind w:firstLine="720"/>
        <w:rPr>
          <w:rFonts w:ascii="Arial" w:hAnsi="Arial" w:cs="Arial"/>
        </w:rPr>
      </w:pPr>
    </w:p>
    <w:p w14:paraId="48EB92F7" w14:textId="50C1B8EF" w:rsidR="004A5DEB" w:rsidRPr="0041048B" w:rsidRDefault="004A5DEB" w:rsidP="0041048B">
      <w:pPr>
        <w:spacing w:after="0" w:line="240" w:lineRule="auto"/>
        <w:rPr>
          <w:rFonts w:ascii="Arial" w:hAnsi="Arial" w:cs="Arial"/>
          <w:i/>
        </w:rPr>
      </w:pPr>
      <w:r w:rsidRPr="0041048B">
        <w:rPr>
          <w:rFonts w:ascii="Arial" w:hAnsi="Arial" w:cs="Arial"/>
        </w:rPr>
        <w:t xml:space="preserve">Burnett, S., &amp; Lloyd, A. (2020). </w:t>
      </w:r>
      <w:hyperlink r:id="rId17" w:history="1">
        <w:r w:rsidRPr="0041048B">
          <w:rPr>
            <w:rStyle w:val="Hyperlink"/>
            <w:rFonts w:ascii="Arial" w:hAnsi="Arial" w:cs="Arial"/>
          </w:rPr>
          <w:t xml:space="preserve">Hidden and forbidden: </w:t>
        </w:r>
        <w:r w:rsidR="004C4D0B" w:rsidRPr="0041048B">
          <w:rPr>
            <w:rStyle w:val="Hyperlink"/>
            <w:rFonts w:ascii="Arial" w:hAnsi="Arial" w:cs="Arial"/>
          </w:rPr>
          <w:t>C</w:t>
        </w:r>
        <w:r w:rsidRPr="0041048B">
          <w:rPr>
            <w:rStyle w:val="Hyperlink"/>
            <w:rFonts w:ascii="Arial" w:hAnsi="Arial" w:cs="Arial"/>
          </w:rPr>
          <w:t>onceptualising Dark Knowledge</w:t>
        </w:r>
      </w:hyperlink>
      <w:r w:rsidRPr="0041048B">
        <w:rPr>
          <w:rFonts w:ascii="Arial" w:hAnsi="Arial" w:cs="Arial"/>
        </w:rPr>
        <w:t xml:space="preserve">. </w:t>
      </w:r>
      <w:r w:rsidRPr="0041048B">
        <w:rPr>
          <w:rFonts w:ascii="Arial" w:hAnsi="Arial" w:cs="Arial"/>
          <w:i/>
        </w:rPr>
        <w:t xml:space="preserve">Journal </w:t>
      </w:r>
    </w:p>
    <w:p w14:paraId="1071E207" w14:textId="18A01EBC" w:rsidR="004A5DEB" w:rsidRPr="0041048B" w:rsidRDefault="004A5DEB" w:rsidP="0041048B">
      <w:pPr>
        <w:spacing w:after="0" w:line="240" w:lineRule="auto"/>
        <w:ind w:firstLine="720"/>
        <w:rPr>
          <w:rFonts w:ascii="Arial" w:hAnsi="Arial" w:cs="Arial"/>
        </w:rPr>
      </w:pPr>
      <w:r w:rsidRPr="0041048B">
        <w:rPr>
          <w:rFonts w:ascii="Arial" w:hAnsi="Arial" w:cs="Arial"/>
          <w:i/>
        </w:rPr>
        <w:t>of Documentation</w:t>
      </w:r>
      <w:r w:rsidRPr="0041048B">
        <w:rPr>
          <w:rFonts w:ascii="Arial" w:hAnsi="Arial" w:cs="Arial"/>
        </w:rPr>
        <w:t xml:space="preserve">, </w:t>
      </w:r>
      <w:r w:rsidRPr="0041048B">
        <w:rPr>
          <w:rFonts w:ascii="Arial" w:hAnsi="Arial" w:cs="Arial"/>
          <w:i/>
        </w:rPr>
        <w:t>76</w:t>
      </w:r>
      <w:r w:rsidRPr="0041048B">
        <w:rPr>
          <w:rFonts w:ascii="Arial" w:hAnsi="Arial" w:cs="Arial"/>
        </w:rPr>
        <w:t>(6), 1341</w:t>
      </w:r>
      <w:r w:rsidR="004C4D0B" w:rsidRPr="0041048B">
        <w:rPr>
          <w:rFonts w:ascii="Arial" w:hAnsi="Arial" w:cs="Arial"/>
        </w:rPr>
        <w:t>–</w:t>
      </w:r>
      <w:r w:rsidRPr="0041048B">
        <w:rPr>
          <w:rFonts w:ascii="Arial" w:hAnsi="Arial" w:cs="Arial"/>
        </w:rPr>
        <w:t>1358.</w:t>
      </w:r>
    </w:p>
    <w:p w14:paraId="4F17E5D6" w14:textId="77777777" w:rsidR="004A5DEB" w:rsidRPr="0041048B" w:rsidRDefault="004A5DEB" w:rsidP="0041048B">
      <w:pPr>
        <w:spacing w:after="0" w:line="240" w:lineRule="auto"/>
        <w:ind w:firstLine="720"/>
        <w:rPr>
          <w:rFonts w:ascii="Arial" w:hAnsi="Arial" w:cs="Arial"/>
        </w:rPr>
      </w:pPr>
    </w:p>
    <w:p w14:paraId="7BF8E747" w14:textId="22642801" w:rsidR="004A5DEB" w:rsidRPr="0041048B" w:rsidRDefault="004A5DEB" w:rsidP="0041048B">
      <w:pPr>
        <w:spacing w:after="0" w:line="240" w:lineRule="auto"/>
        <w:rPr>
          <w:rFonts w:ascii="Arial" w:hAnsi="Arial" w:cs="Arial"/>
        </w:rPr>
      </w:pPr>
      <w:proofErr w:type="spellStart"/>
      <w:r w:rsidRPr="0041048B">
        <w:rPr>
          <w:rFonts w:ascii="Arial" w:hAnsi="Arial" w:cs="Arial"/>
        </w:rPr>
        <w:t>Buschman</w:t>
      </w:r>
      <w:proofErr w:type="spellEnd"/>
      <w:r w:rsidRPr="0041048B">
        <w:rPr>
          <w:rFonts w:ascii="Arial" w:hAnsi="Arial" w:cs="Arial"/>
        </w:rPr>
        <w:t xml:space="preserve">, J. (2023). </w:t>
      </w:r>
      <w:hyperlink r:id="rId18" w:history="1">
        <w:r w:rsidRPr="0041048B">
          <w:rPr>
            <w:rStyle w:val="Hyperlink"/>
            <w:rFonts w:ascii="Arial" w:hAnsi="Arial" w:cs="Arial"/>
          </w:rPr>
          <w:t>Democracy and information literacy</w:t>
        </w:r>
      </w:hyperlink>
      <w:r w:rsidRPr="0041048B">
        <w:rPr>
          <w:rFonts w:ascii="Arial" w:hAnsi="Arial" w:cs="Arial"/>
        </w:rPr>
        <w:t>. In: A.</w:t>
      </w:r>
      <w:r w:rsidR="004C4D0B" w:rsidRPr="0041048B">
        <w:rPr>
          <w:rFonts w:ascii="Arial" w:hAnsi="Arial" w:cs="Arial"/>
        </w:rPr>
        <w:t xml:space="preserve"> </w:t>
      </w:r>
      <w:r w:rsidRPr="0041048B">
        <w:rPr>
          <w:rFonts w:ascii="Arial" w:hAnsi="Arial" w:cs="Arial"/>
        </w:rPr>
        <w:t xml:space="preserve">Hicks, A. Lloyd &amp; O. </w:t>
      </w:r>
      <w:proofErr w:type="spellStart"/>
      <w:r w:rsidRPr="0041048B">
        <w:rPr>
          <w:rFonts w:ascii="Arial" w:hAnsi="Arial" w:cs="Arial"/>
        </w:rPr>
        <w:t>Pilerot</w:t>
      </w:r>
      <w:proofErr w:type="spellEnd"/>
      <w:r w:rsidRPr="0041048B">
        <w:rPr>
          <w:rFonts w:ascii="Arial" w:hAnsi="Arial" w:cs="Arial"/>
        </w:rPr>
        <w:t xml:space="preserve"> </w:t>
      </w:r>
    </w:p>
    <w:p w14:paraId="16CD8C9A" w14:textId="62D92559" w:rsidR="004A5DEB" w:rsidRPr="0041048B" w:rsidRDefault="004A5DEB" w:rsidP="0041048B">
      <w:pPr>
        <w:spacing w:after="0" w:line="240" w:lineRule="auto"/>
        <w:ind w:firstLine="720"/>
        <w:rPr>
          <w:rFonts w:ascii="Arial" w:hAnsi="Arial" w:cs="Arial"/>
        </w:rPr>
      </w:pPr>
      <w:r w:rsidRPr="0041048B">
        <w:rPr>
          <w:rFonts w:ascii="Arial" w:hAnsi="Arial" w:cs="Arial"/>
        </w:rPr>
        <w:t xml:space="preserve">(Eds.) </w:t>
      </w:r>
      <w:r w:rsidRPr="0041048B">
        <w:rPr>
          <w:rFonts w:ascii="Arial" w:hAnsi="Arial" w:cs="Arial"/>
          <w:i/>
        </w:rPr>
        <w:t>Information Literacy Through Theory.</w:t>
      </w:r>
      <w:r w:rsidRPr="0041048B">
        <w:rPr>
          <w:rFonts w:ascii="Arial" w:hAnsi="Arial" w:cs="Arial"/>
        </w:rPr>
        <w:t xml:space="preserve"> Facet Publishing. </w:t>
      </w:r>
    </w:p>
    <w:p w14:paraId="3F7AA2AC" w14:textId="77777777" w:rsidR="004A5DEB" w:rsidRPr="0041048B" w:rsidRDefault="004A5DEB" w:rsidP="0041048B">
      <w:pPr>
        <w:spacing w:after="0" w:line="240" w:lineRule="auto"/>
        <w:ind w:firstLine="720"/>
        <w:rPr>
          <w:rFonts w:ascii="Arial" w:hAnsi="Arial" w:cs="Arial"/>
        </w:rPr>
      </w:pPr>
    </w:p>
    <w:p w14:paraId="6697A285" w14:textId="7023A837" w:rsidR="004A5DEB" w:rsidRPr="0041048B" w:rsidRDefault="004A5DEB" w:rsidP="0041048B">
      <w:pPr>
        <w:spacing w:after="0" w:line="240" w:lineRule="auto"/>
        <w:rPr>
          <w:rStyle w:val="Hyperlink"/>
          <w:rFonts w:ascii="Arial" w:hAnsi="Arial" w:cs="Arial"/>
        </w:rPr>
      </w:pPr>
      <w:proofErr w:type="spellStart"/>
      <w:r w:rsidRPr="0041048B">
        <w:rPr>
          <w:rFonts w:ascii="Arial" w:hAnsi="Arial" w:cs="Arial"/>
        </w:rPr>
        <w:t>Gorichanaz</w:t>
      </w:r>
      <w:proofErr w:type="spellEnd"/>
      <w:r w:rsidRPr="0041048B">
        <w:rPr>
          <w:rFonts w:ascii="Arial" w:hAnsi="Arial" w:cs="Arial"/>
        </w:rPr>
        <w:t xml:space="preserve">, T. (2023). </w:t>
      </w:r>
      <w:r w:rsidR="003A2DD9" w:rsidRPr="0041048B">
        <w:rPr>
          <w:rFonts w:ascii="Arial" w:hAnsi="Arial" w:cs="Arial"/>
        </w:rPr>
        <w:fldChar w:fldCharType="begin"/>
      </w:r>
      <w:r w:rsidR="003A2DD9" w:rsidRPr="0041048B">
        <w:rPr>
          <w:rFonts w:ascii="Arial" w:hAnsi="Arial" w:cs="Arial"/>
        </w:rPr>
        <w:instrText xml:space="preserve"> HYPERLINK "https://doi.org/10.1515/opis-2022-0151" </w:instrText>
      </w:r>
      <w:r w:rsidR="003A2DD9" w:rsidRPr="0041048B">
        <w:rPr>
          <w:rFonts w:ascii="Arial" w:hAnsi="Arial" w:cs="Arial"/>
        </w:rPr>
      </w:r>
      <w:r w:rsidR="003A2DD9" w:rsidRPr="0041048B">
        <w:rPr>
          <w:rFonts w:ascii="Arial" w:hAnsi="Arial" w:cs="Arial"/>
        </w:rPr>
        <w:fldChar w:fldCharType="separate"/>
      </w:r>
      <w:r w:rsidRPr="0041048B">
        <w:rPr>
          <w:rStyle w:val="Hyperlink"/>
          <w:rFonts w:ascii="Arial" w:hAnsi="Arial" w:cs="Arial"/>
        </w:rPr>
        <w:t xml:space="preserve">A compass for what matters: Applying virtue ethics to information </w:t>
      </w:r>
    </w:p>
    <w:p w14:paraId="6242B975" w14:textId="6047C7A9" w:rsidR="004A5DEB" w:rsidRPr="0041048B" w:rsidRDefault="004A5DEB" w:rsidP="0041048B">
      <w:pPr>
        <w:spacing w:after="0" w:line="240" w:lineRule="auto"/>
        <w:ind w:firstLine="720"/>
        <w:rPr>
          <w:rFonts w:ascii="Arial" w:hAnsi="Arial" w:cs="Arial"/>
        </w:rPr>
      </w:pPr>
      <w:proofErr w:type="spellStart"/>
      <w:r w:rsidRPr="0041048B">
        <w:rPr>
          <w:rStyle w:val="Hyperlink"/>
          <w:rFonts w:ascii="Arial" w:hAnsi="Arial" w:cs="Arial"/>
        </w:rPr>
        <w:t>behavior</w:t>
      </w:r>
      <w:proofErr w:type="spellEnd"/>
      <w:r w:rsidR="003A2DD9" w:rsidRPr="0041048B">
        <w:rPr>
          <w:rFonts w:ascii="Arial" w:hAnsi="Arial" w:cs="Arial"/>
        </w:rPr>
        <w:fldChar w:fldCharType="end"/>
      </w:r>
      <w:r w:rsidRPr="0041048B">
        <w:rPr>
          <w:rFonts w:ascii="Arial" w:hAnsi="Arial" w:cs="Arial"/>
        </w:rPr>
        <w:t xml:space="preserve">. </w:t>
      </w:r>
      <w:r w:rsidRPr="0041048B">
        <w:rPr>
          <w:rFonts w:ascii="Arial" w:hAnsi="Arial" w:cs="Arial"/>
          <w:i/>
        </w:rPr>
        <w:t>Open Information Science</w:t>
      </w:r>
      <w:r w:rsidRPr="0041048B">
        <w:rPr>
          <w:rFonts w:ascii="Arial" w:hAnsi="Arial" w:cs="Arial"/>
        </w:rPr>
        <w:t xml:space="preserve">, </w:t>
      </w:r>
      <w:r w:rsidRPr="0041048B">
        <w:rPr>
          <w:rFonts w:ascii="Arial" w:hAnsi="Arial" w:cs="Arial"/>
          <w:i/>
        </w:rPr>
        <w:t>7</w:t>
      </w:r>
      <w:r w:rsidRPr="0041048B">
        <w:rPr>
          <w:rFonts w:ascii="Arial" w:hAnsi="Arial" w:cs="Arial"/>
        </w:rPr>
        <w:t xml:space="preserve">(1). </w:t>
      </w:r>
    </w:p>
    <w:p w14:paraId="6F6EDA3B" w14:textId="77777777" w:rsidR="004A5DEB" w:rsidRPr="0041048B" w:rsidRDefault="004A5DEB" w:rsidP="0041048B">
      <w:pPr>
        <w:spacing w:after="0" w:line="240" w:lineRule="auto"/>
        <w:ind w:firstLine="720"/>
        <w:rPr>
          <w:rFonts w:ascii="Arial" w:hAnsi="Arial" w:cs="Arial"/>
        </w:rPr>
      </w:pPr>
    </w:p>
    <w:p w14:paraId="34D1A1FC" w14:textId="0B0A8948" w:rsidR="004A5DEB" w:rsidRPr="0041048B" w:rsidRDefault="004A5DEB" w:rsidP="0041048B">
      <w:pPr>
        <w:spacing w:after="0" w:line="240" w:lineRule="auto"/>
        <w:rPr>
          <w:rFonts w:ascii="Arial" w:hAnsi="Arial" w:cs="Arial"/>
        </w:rPr>
      </w:pPr>
      <w:r w:rsidRPr="0041048B">
        <w:rPr>
          <w:rFonts w:ascii="Arial" w:hAnsi="Arial" w:cs="Arial"/>
        </w:rPr>
        <w:t xml:space="preserve">Haider, J. &amp; </w:t>
      </w:r>
      <w:proofErr w:type="spellStart"/>
      <w:r w:rsidRPr="0041048B">
        <w:rPr>
          <w:rFonts w:ascii="Arial" w:hAnsi="Arial" w:cs="Arial"/>
        </w:rPr>
        <w:t>Sundin</w:t>
      </w:r>
      <w:proofErr w:type="spellEnd"/>
      <w:r w:rsidRPr="0041048B">
        <w:rPr>
          <w:rFonts w:ascii="Arial" w:hAnsi="Arial" w:cs="Arial"/>
        </w:rPr>
        <w:t xml:space="preserve">, O. (2022). </w:t>
      </w:r>
      <w:hyperlink r:id="rId19" w:history="1">
        <w:r w:rsidRPr="0041048B">
          <w:rPr>
            <w:rStyle w:val="Hyperlink"/>
            <w:rFonts w:ascii="Arial" w:hAnsi="Arial" w:cs="Arial"/>
            <w:i/>
          </w:rPr>
          <w:t>Paradoxes of Media and Information Literacy</w:t>
        </w:r>
      </w:hyperlink>
      <w:r w:rsidRPr="0041048B">
        <w:rPr>
          <w:rFonts w:ascii="Arial" w:hAnsi="Arial" w:cs="Arial"/>
        </w:rPr>
        <w:t>. Routledge.</w:t>
      </w:r>
    </w:p>
    <w:p w14:paraId="7ED6AA3F" w14:textId="77777777" w:rsidR="004C4D0B" w:rsidRPr="0041048B" w:rsidRDefault="004C4D0B" w:rsidP="0041048B">
      <w:pPr>
        <w:spacing w:after="0" w:line="240" w:lineRule="auto"/>
        <w:rPr>
          <w:rFonts w:ascii="Arial" w:hAnsi="Arial" w:cs="Arial"/>
        </w:rPr>
      </w:pPr>
    </w:p>
    <w:p w14:paraId="69400A46" w14:textId="7CF686E7" w:rsidR="004A5DEB" w:rsidRPr="0041048B" w:rsidRDefault="004A5DEB" w:rsidP="0041048B">
      <w:pPr>
        <w:spacing w:after="0" w:line="240" w:lineRule="auto"/>
        <w:rPr>
          <w:rFonts w:ascii="Arial" w:hAnsi="Arial" w:cs="Arial"/>
          <w:i/>
        </w:rPr>
      </w:pPr>
      <w:r w:rsidRPr="0041048B">
        <w:rPr>
          <w:rFonts w:ascii="Arial" w:hAnsi="Arial" w:cs="Arial"/>
        </w:rPr>
        <w:t xml:space="preserve">Hannah, M. N. (2023). </w:t>
      </w:r>
      <w:hyperlink r:id="rId20" w:history="1">
        <w:r w:rsidRPr="0041048B">
          <w:rPr>
            <w:rStyle w:val="Hyperlink"/>
            <w:rFonts w:ascii="Arial" w:hAnsi="Arial" w:cs="Arial"/>
          </w:rPr>
          <w:t>Information literacy in the age of internet conspiracism</w:t>
        </w:r>
      </w:hyperlink>
      <w:r w:rsidRPr="0041048B">
        <w:rPr>
          <w:rFonts w:ascii="Arial" w:hAnsi="Arial" w:cs="Arial"/>
        </w:rPr>
        <w:t xml:space="preserve">. </w:t>
      </w:r>
      <w:r w:rsidRPr="0041048B">
        <w:rPr>
          <w:rFonts w:ascii="Arial" w:hAnsi="Arial" w:cs="Arial"/>
          <w:i/>
        </w:rPr>
        <w:t xml:space="preserve">Journal of </w:t>
      </w:r>
    </w:p>
    <w:p w14:paraId="58D71571" w14:textId="517046FD" w:rsidR="004A5DEB" w:rsidRPr="0041048B" w:rsidRDefault="004A5DEB" w:rsidP="0041048B">
      <w:pPr>
        <w:spacing w:after="0" w:line="240" w:lineRule="auto"/>
        <w:ind w:firstLine="720"/>
        <w:rPr>
          <w:rFonts w:ascii="Arial" w:hAnsi="Arial" w:cs="Arial"/>
        </w:rPr>
      </w:pPr>
      <w:r w:rsidRPr="0041048B">
        <w:rPr>
          <w:rFonts w:ascii="Arial" w:hAnsi="Arial" w:cs="Arial"/>
          <w:i/>
        </w:rPr>
        <w:t>Information Literacy</w:t>
      </w:r>
      <w:r w:rsidRPr="0041048B">
        <w:rPr>
          <w:rFonts w:ascii="Arial" w:hAnsi="Arial" w:cs="Arial"/>
        </w:rPr>
        <w:t xml:space="preserve">, </w:t>
      </w:r>
      <w:r w:rsidRPr="0041048B">
        <w:rPr>
          <w:rFonts w:ascii="Arial" w:hAnsi="Arial" w:cs="Arial"/>
          <w:i/>
        </w:rPr>
        <w:t>17</w:t>
      </w:r>
      <w:r w:rsidRPr="0041048B">
        <w:rPr>
          <w:rFonts w:ascii="Arial" w:hAnsi="Arial" w:cs="Arial"/>
        </w:rPr>
        <w:t>(1), 204</w:t>
      </w:r>
      <w:r w:rsidR="004C4D0B" w:rsidRPr="0041048B">
        <w:rPr>
          <w:rFonts w:ascii="Arial" w:hAnsi="Arial" w:cs="Arial"/>
        </w:rPr>
        <w:t>–</w:t>
      </w:r>
      <w:r w:rsidRPr="0041048B">
        <w:rPr>
          <w:rFonts w:ascii="Arial" w:hAnsi="Arial" w:cs="Arial"/>
        </w:rPr>
        <w:t>220.</w:t>
      </w:r>
    </w:p>
    <w:p w14:paraId="2A5B6B00" w14:textId="77777777" w:rsidR="004A5DEB" w:rsidRPr="0041048B" w:rsidRDefault="004A5DEB" w:rsidP="0041048B">
      <w:pPr>
        <w:spacing w:after="0" w:line="240" w:lineRule="auto"/>
        <w:ind w:firstLine="720"/>
        <w:rPr>
          <w:rFonts w:ascii="Arial" w:hAnsi="Arial" w:cs="Arial"/>
        </w:rPr>
      </w:pPr>
    </w:p>
    <w:p w14:paraId="4E5E6D1C" w14:textId="090A755E" w:rsidR="004A5DEB" w:rsidRPr="0041048B" w:rsidRDefault="004A5DEB" w:rsidP="0041048B">
      <w:pPr>
        <w:spacing w:after="0" w:line="240" w:lineRule="auto"/>
        <w:rPr>
          <w:rStyle w:val="Hyperlink"/>
          <w:rFonts w:ascii="Arial" w:hAnsi="Arial" w:cs="Arial"/>
        </w:rPr>
      </w:pPr>
      <w:r w:rsidRPr="0041048B">
        <w:rPr>
          <w:rFonts w:ascii="Arial" w:hAnsi="Arial" w:cs="Arial"/>
        </w:rPr>
        <w:t xml:space="preserve">Hicks, A. &amp; Lloyd, A. (2021). </w:t>
      </w:r>
      <w:r w:rsidR="003A2DD9" w:rsidRPr="0041048B">
        <w:rPr>
          <w:rFonts w:ascii="Arial" w:hAnsi="Arial" w:cs="Arial"/>
        </w:rPr>
        <w:fldChar w:fldCharType="begin"/>
      </w:r>
      <w:r w:rsidR="003A2DD9" w:rsidRPr="0041048B">
        <w:rPr>
          <w:rFonts w:ascii="Arial" w:hAnsi="Arial" w:cs="Arial"/>
        </w:rPr>
        <w:instrText xml:space="preserve"> HYPERLINK "https://doi.org/10.1177/0961000620966027" </w:instrText>
      </w:r>
      <w:r w:rsidR="003A2DD9" w:rsidRPr="0041048B">
        <w:rPr>
          <w:rFonts w:ascii="Arial" w:hAnsi="Arial" w:cs="Arial"/>
        </w:rPr>
      </w:r>
      <w:r w:rsidR="003A2DD9" w:rsidRPr="0041048B">
        <w:rPr>
          <w:rFonts w:ascii="Arial" w:hAnsi="Arial" w:cs="Arial"/>
        </w:rPr>
        <w:fldChar w:fldCharType="separate"/>
      </w:r>
      <w:r w:rsidRPr="0041048B">
        <w:rPr>
          <w:rStyle w:val="Hyperlink"/>
          <w:rFonts w:ascii="Arial" w:hAnsi="Arial" w:cs="Arial"/>
        </w:rPr>
        <w:t xml:space="preserve">Deconstructing information literacy discourse: Peeling back the </w:t>
      </w:r>
    </w:p>
    <w:p w14:paraId="178CBBF1" w14:textId="3F563834" w:rsidR="004A5DEB" w:rsidRPr="0041048B" w:rsidRDefault="004A5DEB" w:rsidP="0041048B">
      <w:pPr>
        <w:spacing w:after="0" w:line="240" w:lineRule="auto"/>
        <w:ind w:firstLine="720"/>
        <w:rPr>
          <w:rFonts w:ascii="Arial" w:hAnsi="Arial" w:cs="Arial"/>
        </w:rPr>
      </w:pPr>
      <w:r w:rsidRPr="0041048B">
        <w:rPr>
          <w:rStyle w:val="Hyperlink"/>
          <w:rFonts w:ascii="Arial" w:hAnsi="Arial" w:cs="Arial"/>
        </w:rPr>
        <w:t>layers in higher education</w:t>
      </w:r>
      <w:r w:rsidR="003A2DD9" w:rsidRPr="0041048B">
        <w:rPr>
          <w:rFonts w:ascii="Arial" w:hAnsi="Arial" w:cs="Arial"/>
        </w:rPr>
        <w:fldChar w:fldCharType="end"/>
      </w:r>
      <w:r w:rsidRPr="0041048B">
        <w:rPr>
          <w:rFonts w:ascii="Arial" w:hAnsi="Arial" w:cs="Arial"/>
        </w:rPr>
        <w:t>. J</w:t>
      </w:r>
      <w:r w:rsidRPr="0041048B">
        <w:rPr>
          <w:rFonts w:ascii="Arial" w:hAnsi="Arial" w:cs="Arial"/>
          <w:i/>
        </w:rPr>
        <w:t>ournal of Library and Information Science 53</w:t>
      </w:r>
      <w:r w:rsidRPr="0041048B">
        <w:rPr>
          <w:rFonts w:ascii="Arial" w:hAnsi="Arial" w:cs="Arial"/>
        </w:rPr>
        <w:t>(4), 559</w:t>
      </w:r>
      <w:r w:rsidR="004C4D0B" w:rsidRPr="0041048B">
        <w:rPr>
          <w:rFonts w:ascii="Arial" w:hAnsi="Arial" w:cs="Arial"/>
        </w:rPr>
        <w:t>–</w:t>
      </w:r>
      <w:r w:rsidRPr="0041048B">
        <w:rPr>
          <w:rFonts w:ascii="Arial" w:hAnsi="Arial" w:cs="Arial"/>
        </w:rPr>
        <w:t>571.</w:t>
      </w:r>
    </w:p>
    <w:p w14:paraId="6B3B88A1" w14:textId="77777777" w:rsidR="004A5DEB" w:rsidRPr="0041048B" w:rsidRDefault="004A5DEB" w:rsidP="0041048B">
      <w:pPr>
        <w:spacing w:after="0" w:line="240" w:lineRule="auto"/>
        <w:ind w:firstLine="720"/>
        <w:rPr>
          <w:rFonts w:ascii="Arial" w:hAnsi="Arial" w:cs="Arial"/>
        </w:rPr>
      </w:pPr>
    </w:p>
    <w:p w14:paraId="0D12CE31" w14:textId="3450A1B1" w:rsidR="004A5DEB" w:rsidRPr="0041048B" w:rsidRDefault="004A5DEB" w:rsidP="0041048B">
      <w:pPr>
        <w:spacing w:after="0" w:line="240" w:lineRule="auto"/>
        <w:rPr>
          <w:rStyle w:val="Hyperlink"/>
          <w:rFonts w:ascii="Arial" w:hAnsi="Arial" w:cs="Arial"/>
        </w:rPr>
      </w:pPr>
      <w:r w:rsidRPr="0041048B">
        <w:rPr>
          <w:rFonts w:ascii="Arial" w:hAnsi="Arial" w:cs="Arial"/>
        </w:rPr>
        <w:t xml:space="preserve">Hicks, A. &amp; Lloyd, A. (2022a). </w:t>
      </w:r>
      <w:r w:rsidR="003A2DD9" w:rsidRPr="0041048B">
        <w:rPr>
          <w:rFonts w:ascii="Arial" w:hAnsi="Arial" w:cs="Arial"/>
        </w:rPr>
        <w:fldChar w:fldCharType="begin"/>
      </w:r>
      <w:r w:rsidR="003A2DD9" w:rsidRPr="0041048B">
        <w:rPr>
          <w:rFonts w:ascii="Arial" w:hAnsi="Arial" w:cs="Arial"/>
        </w:rPr>
        <w:instrText xml:space="preserve"> HYPERLINK "https://doi.org/10.1177/09610006211067216" </w:instrText>
      </w:r>
      <w:r w:rsidR="003A2DD9" w:rsidRPr="0041048B">
        <w:rPr>
          <w:rFonts w:ascii="Arial" w:hAnsi="Arial" w:cs="Arial"/>
        </w:rPr>
      </w:r>
      <w:r w:rsidR="003A2DD9" w:rsidRPr="0041048B">
        <w:rPr>
          <w:rFonts w:ascii="Arial" w:hAnsi="Arial" w:cs="Arial"/>
        </w:rPr>
        <w:fldChar w:fldCharType="separate"/>
      </w:r>
      <w:r w:rsidRPr="0041048B">
        <w:rPr>
          <w:rStyle w:val="Hyperlink"/>
          <w:rFonts w:ascii="Arial" w:hAnsi="Arial" w:cs="Arial"/>
        </w:rPr>
        <w:t xml:space="preserve">Reaching into the basket of doom: Learning outcomes, discourse, </w:t>
      </w:r>
    </w:p>
    <w:p w14:paraId="257CE5C6" w14:textId="7C7DA15C" w:rsidR="004A5DEB" w:rsidRPr="0041048B" w:rsidRDefault="004A5DEB" w:rsidP="0041048B">
      <w:pPr>
        <w:spacing w:after="0" w:line="240" w:lineRule="auto"/>
        <w:ind w:firstLine="720"/>
        <w:rPr>
          <w:rFonts w:ascii="Arial" w:hAnsi="Arial" w:cs="Arial"/>
        </w:rPr>
      </w:pPr>
      <w:r w:rsidRPr="0041048B">
        <w:rPr>
          <w:rStyle w:val="Hyperlink"/>
          <w:rFonts w:ascii="Arial" w:hAnsi="Arial" w:cs="Arial"/>
        </w:rPr>
        <w:t>and information literacy</w:t>
      </w:r>
      <w:r w:rsidR="003A2DD9" w:rsidRPr="0041048B">
        <w:rPr>
          <w:rFonts w:ascii="Arial" w:hAnsi="Arial" w:cs="Arial"/>
        </w:rPr>
        <w:fldChar w:fldCharType="end"/>
      </w:r>
      <w:r w:rsidRPr="0041048B">
        <w:rPr>
          <w:rFonts w:ascii="Arial" w:hAnsi="Arial" w:cs="Arial"/>
        </w:rPr>
        <w:t xml:space="preserve">. </w:t>
      </w:r>
      <w:r w:rsidRPr="0041048B">
        <w:rPr>
          <w:rFonts w:ascii="Arial" w:hAnsi="Arial" w:cs="Arial"/>
          <w:i/>
        </w:rPr>
        <w:t>Journal of Librarianship and Information Science</w:t>
      </w:r>
      <w:r w:rsidRPr="0041048B">
        <w:rPr>
          <w:rFonts w:ascii="Arial" w:hAnsi="Arial" w:cs="Arial"/>
          <w:iCs/>
        </w:rPr>
        <w:t>,</w:t>
      </w:r>
      <w:r w:rsidRPr="0041048B">
        <w:rPr>
          <w:rFonts w:ascii="Arial" w:hAnsi="Arial" w:cs="Arial"/>
        </w:rPr>
        <w:t xml:space="preserve"> </w:t>
      </w:r>
      <w:r w:rsidRPr="0041048B">
        <w:rPr>
          <w:rFonts w:ascii="Arial" w:hAnsi="Arial" w:cs="Arial"/>
          <w:i/>
        </w:rPr>
        <w:t>55</w:t>
      </w:r>
      <w:r w:rsidRPr="0041048B">
        <w:rPr>
          <w:rFonts w:ascii="Arial" w:hAnsi="Arial" w:cs="Arial"/>
        </w:rPr>
        <w:t xml:space="preserve">(2) </w:t>
      </w:r>
    </w:p>
    <w:p w14:paraId="4387AAB5" w14:textId="65F57C7A" w:rsidR="004A5DEB" w:rsidRPr="0041048B" w:rsidRDefault="004A5DEB" w:rsidP="0041048B">
      <w:pPr>
        <w:spacing w:after="0" w:line="240" w:lineRule="auto"/>
        <w:ind w:firstLine="720"/>
        <w:rPr>
          <w:rFonts w:ascii="Arial" w:hAnsi="Arial" w:cs="Arial"/>
        </w:rPr>
      </w:pPr>
      <w:r w:rsidRPr="0041048B">
        <w:rPr>
          <w:rFonts w:ascii="Arial" w:hAnsi="Arial" w:cs="Arial"/>
        </w:rPr>
        <w:t>282–298.</w:t>
      </w:r>
    </w:p>
    <w:p w14:paraId="15B5350E" w14:textId="77777777" w:rsidR="004A5DEB" w:rsidRPr="0041048B" w:rsidRDefault="004A5DEB" w:rsidP="0041048B">
      <w:pPr>
        <w:spacing w:after="0" w:line="240" w:lineRule="auto"/>
        <w:ind w:firstLine="720"/>
        <w:rPr>
          <w:rFonts w:ascii="Arial" w:hAnsi="Arial" w:cs="Arial"/>
        </w:rPr>
      </w:pPr>
    </w:p>
    <w:p w14:paraId="46ACAA0F" w14:textId="52EBF2B4" w:rsidR="004A5DEB" w:rsidRPr="0041048B" w:rsidRDefault="004A5DEB" w:rsidP="0041048B">
      <w:pPr>
        <w:spacing w:after="0" w:line="240" w:lineRule="auto"/>
        <w:rPr>
          <w:rStyle w:val="Hyperlink"/>
          <w:rFonts w:ascii="Arial" w:hAnsi="Arial" w:cs="Arial"/>
        </w:rPr>
      </w:pPr>
      <w:r w:rsidRPr="0041048B">
        <w:rPr>
          <w:rFonts w:ascii="Arial" w:hAnsi="Arial" w:cs="Arial"/>
        </w:rPr>
        <w:t xml:space="preserve">Hicks, A. &amp; Lloyd, A. (2022b). </w:t>
      </w:r>
      <w:r w:rsidR="00C41565" w:rsidRPr="0041048B">
        <w:rPr>
          <w:rFonts w:ascii="Arial" w:hAnsi="Arial" w:cs="Arial"/>
        </w:rPr>
        <w:fldChar w:fldCharType="begin"/>
      </w:r>
      <w:r w:rsidR="00C41565" w:rsidRPr="0041048B">
        <w:rPr>
          <w:rFonts w:ascii="Arial" w:hAnsi="Arial" w:cs="Arial"/>
        </w:rPr>
        <w:instrText xml:space="preserve"> HYPERLINK "https://doi.org/10.1177/01655515221124003" </w:instrText>
      </w:r>
      <w:r w:rsidR="00C41565" w:rsidRPr="0041048B">
        <w:rPr>
          <w:rFonts w:ascii="Arial" w:hAnsi="Arial" w:cs="Arial"/>
        </w:rPr>
      </w:r>
      <w:r w:rsidR="00C41565" w:rsidRPr="0041048B">
        <w:rPr>
          <w:rFonts w:ascii="Arial" w:hAnsi="Arial" w:cs="Arial"/>
        </w:rPr>
        <w:fldChar w:fldCharType="separate"/>
      </w:r>
      <w:r w:rsidRPr="0041048B">
        <w:rPr>
          <w:rStyle w:val="Hyperlink"/>
          <w:rFonts w:ascii="Arial" w:hAnsi="Arial" w:cs="Arial"/>
        </w:rPr>
        <w:t xml:space="preserve">Agency and liminality during the COVID-19 pandemic: Why </w:t>
      </w:r>
    </w:p>
    <w:p w14:paraId="6904E627" w14:textId="5EFC9CB5" w:rsidR="004A5DEB" w:rsidRPr="0041048B" w:rsidRDefault="004A5DEB" w:rsidP="0041048B">
      <w:pPr>
        <w:spacing w:after="0" w:line="240" w:lineRule="auto"/>
        <w:ind w:firstLine="720"/>
        <w:rPr>
          <w:rFonts w:ascii="Arial" w:hAnsi="Arial" w:cs="Arial"/>
        </w:rPr>
      </w:pPr>
      <w:r w:rsidRPr="0041048B">
        <w:rPr>
          <w:rStyle w:val="Hyperlink"/>
          <w:rFonts w:ascii="Arial" w:hAnsi="Arial" w:cs="Arial"/>
        </w:rPr>
        <w:t>information literacy can’t fix vaccine hesitancy</w:t>
      </w:r>
      <w:r w:rsidR="00C41565" w:rsidRPr="0041048B">
        <w:rPr>
          <w:rFonts w:ascii="Arial" w:hAnsi="Arial" w:cs="Arial"/>
        </w:rPr>
        <w:fldChar w:fldCharType="end"/>
      </w:r>
      <w:r w:rsidRPr="0041048B">
        <w:rPr>
          <w:rFonts w:ascii="Arial" w:hAnsi="Arial" w:cs="Arial"/>
        </w:rPr>
        <w:t xml:space="preserve">. </w:t>
      </w:r>
      <w:r w:rsidRPr="0041048B">
        <w:rPr>
          <w:rFonts w:ascii="Arial" w:hAnsi="Arial" w:cs="Arial"/>
          <w:i/>
        </w:rPr>
        <w:t>Journal of Information Science</w:t>
      </w:r>
      <w:r w:rsidR="00C41565" w:rsidRPr="0041048B">
        <w:rPr>
          <w:rFonts w:ascii="Arial" w:hAnsi="Arial" w:cs="Arial"/>
          <w:i/>
        </w:rPr>
        <w:t>, 0</w:t>
      </w:r>
      <w:r w:rsidR="00C41565" w:rsidRPr="0041048B">
        <w:rPr>
          <w:rFonts w:ascii="Arial" w:hAnsi="Arial" w:cs="Arial"/>
          <w:iCs/>
        </w:rPr>
        <w:t>(0)</w:t>
      </w:r>
      <w:r w:rsidRPr="0041048B">
        <w:rPr>
          <w:rFonts w:ascii="Arial" w:hAnsi="Arial" w:cs="Arial"/>
        </w:rPr>
        <w:t xml:space="preserve">. </w:t>
      </w:r>
    </w:p>
    <w:p w14:paraId="030F1E03" w14:textId="77777777" w:rsidR="004A5DEB" w:rsidRPr="0041048B" w:rsidRDefault="004A5DEB" w:rsidP="0041048B">
      <w:pPr>
        <w:spacing w:after="0" w:line="240" w:lineRule="auto"/>
        <w:ind w:firstLine="720"/>
        <w:rPr>
          <w:rFonts w:ascii="Arial" w:hAnsi="Arial" w:cs="Arial"/>
        </w:rPr>
      </w:pPr>
    </w:p>
    <w:p w14:paraId="7BFE44CD" w14:textId="71DC8693" w:rsidR="004A5DEB" w:rsidRPr="0041048B" w:rsidRDefault="004A5DEB" w:rsidP="0041048B">
      <w:pPr>
        <w:spacing w:after="0" w:line="240" w:lineRule="auto"/>
        <w:rPr>
          <w:rFonts w:ascii="Arial" w:hAnsi="Arial" w:cs="Arial"/>
        </w:rPr>
      </w:pPr>
      <w:r w:rsidRPr="0041048B">
        <w:rPr>
          <w:rFonts w:ascii="Arial" w:hAnsi="Arial" w:cs="Arial"/>
        </w:rPr>
        <w:t xml:space="preserve">Hicks, A., Lloyd, A., &amp; </w:t>
      </w:r>
      <w:proofErr w:type="spellStart"/>
      <w:r w:rsidRPr="0041048B">
        <w:rPr>
          <w:rFonts w:ascii="Arial" w:hAnsi="Arial" w:cs="Arial"/>
        </w:rPr>
        <w:t>Pilerot</w:t>
      </w:r>
      <w:proofErr w:type="spellEnd"/>
      <w:r w:rsidRPr="0041048B">
        <w:rPr>
          <w:rFonts w:ascii="Arial" w:hAnsi="Arial" w:cs="Arial"/>
        </w:rPr>
        <w:t xml:space="preserve">, O. (2023). </w:t>
      </w:r>
      <w:hyperlink r:id="rId21" w:history="1">
        <w:r w:rsidRPr="0041048B">
          <w:rPr>
            <w:rStyle w:val="Hyperlink"/>
            <w:rFonts w:ascii="Arial" w:hAnsi="Arial" w:cs="Arial"/>
            <w:i/>
          </w:rPr>
          <w:t xml:space="preserve">Information Literacy </w:t>
        </w:r>
        <w:r w:rsidR="003A2DD9" w:rsidRPr="0041048B">
          <w:rPr>
            <w:rStyle w:val="Hyperlink"/>
            <w:rFonts w:ascii="Arial" w:hAnsi="Arial" w:cs="Arial"/>
            <w:i/>
          </w:rPr>
          <w:t>through theory</w:t>
        </w:r>
      </w:hyperlink>
      <w:r w:rsidRPr="0041048B">
        <w:rPr>
          <w:rFonts w:ascii="Arial" w:hAnsi="Arial" w:cs="Arial"/>
        </w:rPr>
        <w:t>. Facet Publishing.</w:t>
      </w:r>
    </w:p>
    <w:p w14:paraId="4138794E" w14:textId="77777777" w:rsidR="003A2DD9" w:rsidRPr="0041048B" w:rsidRDefault="003A2DD9" w:rsidP="0041048B">
      <w:pPr>
        <w:spacing w:after="0" w:line="240" w:lineRule="auto"/>
        <w:rPr>
          <w:rFonts w:ascii="Arial" w:hAnsi="Arial" w:cs="Arial"/>
        </w:rPr>
      </w:pPr>
    </w:p>
    <w:p w14:paraId="64A2561F" w14:textId="30F4343A" w:rsidR="004A5DEB" w:rsidRPr="0041048B" w:rsidRDefault="004A5DEB" w:rsidP="0041048B">
      <w:pPr>
        <w:spacing w:after="0" w:line="240" w:lineRule="auto"/>
        <w:rPr>
          <w:rFonts w:ascii="Arial" w:hAnsi="Arial" w:cs="Arial"/>
        </w:rPr>
      </w:pPr>
      <w:r w:rsidRPr="0041048B">
        <w:rPr>
          <w:rFonts w:ascii="Arial" w:hAnsi="Arial" w:cs="Arial"/>
        </w:rPr>
        <w:t xml:space="preserve">Hill, R. A. (2014). Honor the negative space. </w:t>
      </w:r>
      <w:r w:rsidRPr="0041048B">
        <w:rPr>
          <w:rFonts w:ascii="Arial" w:hAnsi="Arial" w:cs="Arial"/>
          <w:i/>
        </w:rPr>
        <w:t>Journal of Contemplative Inquiry</w:t>
      </w:r>
      <w:r w:rsidRPr="0041048B">
        <w:rPr>
          <w:rFonts w:ascii="Arial" w:hAnsi="Arial" w:cs="Arial"/>
        </w:rPr>
        <w:t xml:space="preserve">, </w:t>
      </w:r>
      <w:r w:rsidRPr="0041048B">
        <w:rPr>
          <w:rFonts w:ascii="Arial" w:hAnsi="Arial" w:cs="Arial"/>
          <w:i/>
        </w:rPr>
        <w:t>1</w:t>
      </w:r>
      <w:r w:rsidRPr="0041048B">
        <w:rPr>
          <w:rFonts w:ascii="Arial" w:hAnsi="Arial" w:cs="Arial"/>
        </w:rPr>
        <w:t>(1), 135</w:t>
      </w:r>
      <w:r w:rsidR="00C41565" w:rsidRPr="0041048B">
        <w:rPr>
          <w:rFonts w:ascii="Arial" w:hAnsi="Arial" w:cs="Arial"/>
        </w:rPr>
        <w:t>–</w:t>
      </w:r>
      <w:r w:rsidRPr="0041048B">
        <w:rPr>
          <w:rFonts w:ascii="Arial" w:hAnsi="Arial" w:cs="Arial"/>
        </w:rPr>
        <w:t xml:space="preserve">140. </w:t>
      </w:r>
    </w:p>
    <w:p w14:paraId="523EE31F" w14:textId="77777777" w:rsidR="004A5DEB" w:rsidRPr="0041048B" w:rsidRDefault="004A5DEB" w:rsidP="0041048B">
      <w:pPr>
        <w:spacing w:after="0" w:line="240" w:lineRule="auto"/>
        <w:rPr>
          <w:rFonts w:ascii="Arial" w:hAnsi="Arial" w:cs="Arial"/>
        </w:rPr>
      </w:pPr>
    </w:p>
    <w:p w14:paraId="42CEC199" w14:textId="31B4CF06" w:rsidR="004A5DEB" w:rsidRPr="0041048B" w:rsidRDefault="004A5DEB" w:rsidP="0041048B">
      <w:pPr>
        <w:spacing w:after="0" w:line="240" w:lineRule="auto"/>
        <w:rPr>
          <w:rStyle w:val="Hyperlink"/>
          <w:rFonts w:ascii="Arial" w:hAnsi="Arial" w:cs="Arial"/>
        </w:rPr>
      </w:pPr>
      <w:r w:rsidRPr="0041048B">
        <w:rPr>
          <w:rFonts w:ascii="Arial" w:hAnsi="Arial" w:cs="Arial"/>
        </w:rPr>
        <w:t xml:space="preserve">Hobson-West P. (2007). </w:t>
      </w:r>
      <w:r w:rsidR="003A2DD9" w:rsidRPr="0041048B">
        <w:rPr>
          <w:rFonts w:ascii="Arial" w:hAnsi="Arial" w:cs="Arial"/>
        </w:rPr>
        <w:fldChar w:fldCharType="begin"/>
      </w:r>
      <w:r w:rsidR="003A2DD9" w:rsidRPr="0041048B">
        <w:rPr>
          <w:rFonts w:ascii="Arial" w:hAnsi="Arial" w:cs="Arial"/>
        </w:rPr>
        <w:instrText xml:space="preserve"> HYPERLINK "https://doi.org/10.1111/j.1467-9566.2007.00544.x" </w:instrText>
      </w:r>
      <w:r w:rsidR="003A2DD9" w:rsidRPr="0041048B">
        <w:rPr>
          <w:rFonts w:ascii="Arial" w:hAnsi="Arial" w:cs="Arial"/>
        </w:rPr>
      </w:r>
      <w:r w:rsidR="003A2DD9" w:rsidRPr="0041048B">
        <w:rPr>
          <w:rFonts w:ascii="Arial" w:hAnsi="Arial" w:cs="Arial"/>
        </w:rPr>
        <w:fldChar w:fldCharType="separate"/>
      </w:r>
      <w:r w:rsidRPr="0041048B">
        <w:rPr>
          <w:rStyle w:val="Hyperlink"/>
          <w:rFonts w:ascii="Arial" w:hAnsi="Arial" w:cs="Arial"/>
        </w:rPr>
        <w:t xml:space="preserve">‘Trusting blindly can be the biggest risk of all’: </w:t>
      </w:r>
      <w:r w:rsidR="003A2DD9" w:rsidRPr="0041048B">
        <w:rPr>
          <w:rStyle w:val="Hyperlink"/>
          <w:rFonts w:ascii="Arial" w:hAnsi="Arial" w:cs="Arial"/>
        </w:rPr>
        <w:t xml:space="preserve">Organised </w:t>
      </w:r>
      <w:r w:rsidRPr="0041048B">
        <w:rPr>
          <w:rStyle w:val="Hyperlink"/>
          <w:rFonts w:ascii="Arial" w:hAnsi="Arial" w:cs="Arial"/>
        </w:rPr>
        <w:t xml:space="preserve">resistance to </w:t>
      </w:r>
    </w:p>
    <w:p w14:paraId="10E5D85C" w14:textId="23EAB0E0" w:rsidR="004A5DEB" w:rsidRPr="0041048B" w:rsidRDefault="004A5DEB" w:rsidP="0041048B">
      <w:pPr>
        <w:spacing w:after="0" w:line="240" w:lineRule="auto"/>
        <w:ind w:firstLine="720"/>
        <w:rPr>
          <w:rFonts w:ascii="Arial" w:hAnsi="Arial" w:cs="Arial"/>
        </w:rPr>
      </w:pPr>
      <w:r w:rsidRPr="0041048B">
        <w:rPr>
          <w:rStyle w:val="Hyperlink"/>
          <w:rFonts w:ascii="Arial" w:hAnsi="Arial" w:cs="Arial"/>
        </w:rPr>
        <w:t>childhood vaccination in the UK</w:t>
      </w:r>
      <w:r w:rsidR="003A2DD9" w:rsidRPr="0041048B">
        <w:rPr>
          <w:rFonts w:ascii="Arial" w:hAnsi="Arial" w:cs="Arial"/>
        </w:rPr>
        <w:fldChar w:fldCharType="end"/>
      </w:r>
      <w:r w:rsidRPr="0041048B">
        <w:rPr>
          <w:rFonts w:ascii="Arial" w:hAnsi="Arial" w:cs="Arial"/>
        </w:rPr>
        <w:t xml:space="preserve">. </w:t>
      </w:r>
      <w:r w:rsidRPr="0041048B">
        <w:rPr>
          <w:rFonts w:ascii="Arial" w:hAnsi="Arial" w:cs="Arial"/>
          <w:i/>
        </w:rPr>
        <w:t>Sociology of Health and Illness,</w:t>
      </w:r>
      <w:r w:rsidRPr="0041048B">
        <w:rPr>
          <w:rFonts w:ascii="Arial" w:hAnsi="Arial" w:cs="Arial"/>
        </w:rPr>
        <w:t xml:space="preserve"> </w:t>
      </w:r>
      <w:r w:rsidRPr="0041048B">
        <w:rPr>
          <w:rFonts w:ascii="Arial" w:hAnsi="Arial" w:cs="Arial"/>
          <w:i/>
        </w:rPr>
        <w:t>29</w:t>
      </w:r>
      <w:r w:rsidRPr="0041048B">
        <w:rPr>
          <w:rFonts w:ascii="Arial" w:hAnsi="Arial" w:cs="Arial"/>
        </w:rPr>
        <w:t>(2), 198–215.</w:t>
      </w:r>
    </w:p>
    <w:p w14:paraId="663A60C1" w14:textId="77777777" w:rsidR="004A5DEB" w:rsidRPr="0041048B" w:rsidRDefault="004A5DEB" w:rsidP="0041048B">
      <w:pPr>
        <w:spacing w:after="0" w:line="240" w:lineRule="auto"/>
        <w:ind w:firstLine="720"/>
        <w:rPr>
          <w:rFonts w:ascii="Arial" w:hAnsi="Arial" w:cs="Arial"/>
        </w:rPr>
      </w:pPr>
    </w:p>
    <w:p w14:paraId="5CAA09BA" w14:textId="77777777" w:rsidR="004A5DEB" w:rsidRPr="0041048B" w:rsidRDefault="004A5DEB" w:rsidP="0041048B">
      <w:pPr>
        <w:spacing w:after="0" w:line="240" w:lineRule="auto"/>
        <w:rPr>
          <w:rFonts w:ascii="Arial" w:hAnsi="Arial" w:cs="Arial"/>
        </w:rPr>
      </w:pPr>
      <w:r w:rsidRPr="0041048B">
        <w:rPr>
          <w:rFonts w:ascii="Arial" w:hAnsi="Arial" w:cs="Arial"/>
        </w:rPr>
        <w:t xml:space="preserve">Lee, C., Yang, T., </w:t>
      </w:r>
      <w:proofErr w:type="spellStart"/>
      <w:r w:rsidRPr="0041048B">
        <w:rPr>
          <w:rFonts w:ascii="Arial" w:hAnsi="Arial" w:cs="Arial"/>
        </w:rPr>
        <w:t>Inchoco</w:t>
      </w:r>
      <w:proofErr w:type="spellEnd"/>
      <w:r w:rsidRPr="0041048B">
        <w:rPr>
          <w:rFonts w:ascii="Arial" w:hAnsi="Arial" w:cs="Arial"/>
        </w:rPr>
        <w:t xml:space="preserve">, G. D., Jones, G. M., &amp; </w:t>
      </w:r>
      <w:proofErr w:type="spellStart"/>
      <w:r w:rsidRPr="0041048B">
        <w:rPr>
          <w:rFonts w:ascii="Arial" w:hAnsi="Arial" w:cs="Arial"/>
        </w:rPr>
        <w:t>Satyanarayan</w:t>
      </w:r>
      <w:proofErr w:type="spellEnd"/>
      <w:r w:rsidRPr="0041048B">
        <w:rPr>
          <w:rFonts w:ascii="Arial" w:hAnsi="Arial" w:cs="Arial"/>
        </w:rPr>
        <w:t xml:space="preserve">, A. (2021, May). Viral </w:t>
      </w:r>
    </w:p>
    <w:p w14:paraId="02440947" w14:textId="77777777" w:rsidR="004A5DEB" w:rsidRPr="0041048B" w:rsidRDefault="004A5DEB" w:rsidP="0041048B">
      <w:pPr>
        <w:spacing w:after="0" w:line="240" w:lineRule="auto"/>
        <w:ind w:firstLine="720"/>
        <w:rPr>
          <w:rFonts w:ascii="Arial" w:hAnsi="Arial" w:cs="Arial"/>
        </w:rPr>
      </w:pPr>
      <w:r w:rsidRPr="0041048B">
        <w:rPr>
          <w:rFonts w:ascii="Arial" w:hAnsi="Arial" w:cs="Arial"/>
        </w:rPr>
        <w:t xml:space="preserve">visualizations: How coronavirus </w:t>
      </w:r>
      <w:proofErr w:type="spellStart"/>
      <w:r w:rsidRPr="0041048B">
        <w:rPr>
          <w:rFonts w:ascii="Arial" w:hAnsi="Arial" w:cs="Arial"/>
        </w:rPr>
        <w:t>skeptics</w:t>
      </w:r>
      <w:proofErr w:type="spellEnd"/>
      <w:r w:rsidRPr="0041048B">
        <w:rPr>
          <w:rFonts w:ascii="Arial" w:hAnsi="Arial" w:cs="Arial"/>
        </w:rPr>
        <w:t xml:space="preserve"> use orthodox data practices to promote </w:t>
      </w:r>
    </w:p>
    <w:p w14:paraId="0724A111" w14:textId="77777777" w:rsidR="004A5DEB" w:rsidRPr="0041048B" w:rsidRDefault="004A5DEB" w:rsidP="0041048B">
      <w:pPr>
        <w:spacing w:after="0" w:line="240" w:lineRule="auto"/>
        <w:ind w:firstLine="720"/>
        <w:rPr>
          <w:rFonts w:ascii="Arial" w:hAnsi="Arial" w:cs="Arial"/>
          <w:i/>
        </w:rPr>
      </w:pPr>
      <w:r w:rsidRPr="0041048B">
        <w:rPr>
          <w:rFonts w:ascii="Arial" w:hAnsi="Arial" w:cs="Arial"/>
        </w:rPr>
        <w:t xml:space="preserve">unorthodox science online. In </w:t>
      </w:r>
      <w:r w:rsidRPr="0041048B">
        <w:rPr>
          <w:rFonts w:ascii="Arial" w:hAnsi="Arial" w:cs="Arial"/>
          <w:i/>
        </w:rPr>
        <w:t xml:space="preserve">Proceedings of the 2021 CHI Conference on Human </w:t>
      </w:r>
    </w:p>
    <w:p w14:paraId="2343CC77" w14:textId="16DB6D95" w:rsidR="004A5DEB" w:rsidRPr="0041048B" w:rsidRDefault="004A5DEB" w:rsidP="0041048B">
      <w:pPr>
        <w:spacing w:after="0" w:line="240" w:lineRule="auto"/>
        <w:ind w:left="720"/>
        <w:rPr>
          <w:rFonts w:ascii="Arial" w:hAnsi="Arial" w:cs="Arial"/>
        </w:rPr>
      </w:pPr>
      <w:r w:rsidRPr="0041048B">
        <w:rPr>
          <w:rFonts w:ascii="Arial" w:hAnsi="Arial" w:cs="Arial"/>
          <w:i/>
        </w:rPr>
        <w:t>Factors in Computing Systems</w:t>
      </w:r>
      <w:r w:rsidRPr="0041048B">
        <w:rPr>
          <w:rFonts w:ascii="Arial" w:hAnsi="Arial" w:cs="Arial"/>
        </w:rPr>
        <w:t xml:space="preserve"> (pp. 1</w:t>
      </w:r>
      <w:r w:rsidR="00C41565" w:rsidRPr="0041048B">
        <w:rPr>
          <w:rFonts w:ascii="Arial" w:hAnsi="Arial" w:cs="Arial"/>
        </w:rPr>
        <w:t>–</w:t>
      </w:r>
      <w:r w:rsidRPr="0041048B">
        <w:rPr>
          <w:rFonts w:ascii="Arial" w:hAnsi="Arial" w:cs="Arial"/>
        </w:rPr>
        <w:t>18).</w:t>
      </w:r>
    </w:p>
    <w:p w14:paraId="2D1727DC" w14:textId="77777777" w:rsidR="004A5DEB" w:rsidRPr="0041048B" w:rsidRDefault="004A5DEB" w:rsidP="0041048B">
      <w:pPr>
        <w:spacing w:after="0" w:line="240" w:lineRule="auto"/>
        <w:ind w:left="720"/>
        <w:rPr>
          <w:rFonts w:ascii="Arial" w:hAnsi="Arial" w:cs="Arial"/>
        </w:rPr>
      </w:pPr>
    </w:p>
    <w:p w14:paraId="7B07C00B" w14:textId="3BEB9AAD" w:rsidR="004A5DEB" w:rsidRPr="0041048B" w:rsidRDefault="004A5DEB" w:rsidP="0041048B">
      <w:pPr>
        <w:spacing w:after="0" w:line="240" w:lineRule="auto"/>
        <w:rPr>
          <w:rStyle w:val="Hyperlink"/>
          <w:rFonts w:ascii="Arial" w:hAnsi="Arial" w:cs="Arial"/>
        </w:rPr>
      </w:pPr>
      <w:proofErr w:type="spellStart"/>
      <w:r w:rsidRPr="0041048B">
        <w:rPr>
          <w:rFonts w:ascii="Arial" w:hAnsi="Arial" w:cs="Arial"/>
        </w:rPr>
        <w:t>Linstead</w:t>
      </w:r>
      <w:proofErr w:type="spellEnd"/>
      <w:r w:rsidRPr="0041048B">
        <w:rPr>
          <w:rFonts w:ascii="Arial" w:hAnsi="Arial" w:cs="Arial"/>
        </w:rPr>
        <w:t xml:space="preserve">, S., Maréchal, G., &amp; Griffin, R. W. (2014). </w:t>
      </w:r>
      <w:r w:rsidR="003A2DD9" w:rsidRPr="0041048B">
        <w:rPr>
          <w:rFonts w:ascii="Arial" w:hAnsi="Arial" w:cs="Arial"/>
        </w:rPr>
        <w:fldChar w:fldCharType="begin"/>
      </w:r>
      <w:r w:rsidR="003A2DD9" w:rsidRPr="0041048B">
        <w:rPr>
          <w:rFonts w:ascii="Arial" w:hAnsi="Arial" w:cs="Arial"/>
        </w:rPr>
        <w:instrText xml:space="preserve"> HYPERLINK "https://doi.org/10.1177/0170840613515402" </w:instrText>
      </w:r>
      <w:r w:rsidR="003A2DD9" w:rsidRPr="0041048B">
        <w:rPr>
          <w:rFonts w:ascii="Arial" w:hAnsi="Arial" w:cs="Arial"/>
        </w:rPr>
      </w:r>
      <w:r w:rsidR="003A2DD9" w:rsidRPr="0041048B">
        <w:rPr>
          <w:rFonts w:ascii="Arial" w:hAnsi="Arial" w:cs="Arial"/>
        </w:rPr>
        <w:fldChar w:fldCharType="separate"/>
      </w:r>
      <w:r w:rsidRPr="0041048B">
        <w:rPr>
          <w:rStyle w:val="Hyperlink"/>
          <w:rFonts w:ascii="Arial" w:hAnsi="Arial" w:cs="Arial"/>
        </w:rPr>
        <w:t xml:space="preserve">Theorizing and researching the dark side of </w:t>
      </w:r>
    </w:p>
    <w:p w14:paraId="735F5A3F" w14:textId="08DDE4FE" w:rsidR="004A5DEB" w:rsidRPr="0041048B" w:rsidRDefault="004A5DEB" w:rsidP="0041048B">
      <w:pPr>
        <w:spacing w:after="0" w:line="240" w:lineRule="auto"/>
        <w:ind w:firstLine="720"/>
        <w:rPr>
          <w:rFonts w:ascii="Arial" w:hAnsi="Arial" w:cs="Arial"/>
        </w:rPr>
      </w:pPr>
      <w:r w:rsidRPr="0041048B">
        <w:rPr>
          <w:rStyle w:val="Hyperlink"/>
          <w:rFonts w:ascii="Arial" w:hAnsi="Arial" w:cs="Arial"/>
        </w:rPr>
        <w:t>organization</w:t>
      </w:r>
      <w:r w:rsidR="003A2DD9" w:rsidRPr="0041048B">
        <w:rPr>
          <w:rFonts w:ascii="Arial" w:hAnsi="Arial" w:cs="Arial"/>
        </w:rPr>
        <w:fldChar w:fldCharType="end"/>
      </w:r>
      <w:r w:rsidRPr="0041048B">
        <w:rPr>
          <w:rFonts w:ascii="Arial" w:hAnsi="Arial" w:cs="Arial"/>
        </w:rPr>
        <w:t xml:space="preserve">. </w:t>
      </w:r>
      <w:r w:rsidRPr="0041048B">
        <w:rPr>
          <w:rFonts w:ascii="Arial" w:hAnsi="Arial" w:cs="Arial"/>
          <w:i/>
        </w:rPr>
        <w:t>Organization Studies</w:t>
      </w:r>
      <w:r w:rsidRPr="0041048B">
        <w:rPr>
          <w:rFonts w:ascii="Arial" w:hAnsi="Arial" w:cs="Arial"/>
        </w:rPr>
        <w:t xml:space="preserve">, </w:t>
      </w:r>
      <w:r w:rsidRPr="0041048B">
        <w:rPr>
          <w:rFonts w:ascii="Arial" w:hAnsi="Arial" w:cs="Arial"/>
          <w:i/>
        </w:rPr>
        <w:t>35</w:t>
      </w:r>
      <w:r w:rsidRPr="0041048B">
        <w:rPr>
          <w:rFonts w:ascii="Arial" w:hAnsi="Arial" w:cs="Arial"/>
        </w:rPr>
        <w:t>(2), 165</w:t>
      </w:r>
      <w:r w:rsidR="00C41565" w:rsidRPr="0041048B">
        <w:rPr>
          <w:rFonts w:ascii="Arial" w:hAnsi="Arial" w:cs="Arial"/>
        </w:rPr>
        <w:t>–</w:t>
      </w:r>
      <w:r w:rsidRPr="0041048B">
        <w:rPr>
          <w:rFonts w:ascii="Arial" w:hAnsi="Arial" w:cs="Arial"/>
        </w:rPr>
        <w:t>188.</w:t>
      </w:r>
    </w:p>
    <w:p w14:paraId="5F325D7E" w14:textId="77777777" w:rsidR="004A5DEB" w:rsidRPr="0041048B" w:rsidRDefault="004A5DEB" w:rsidP="0041048B">
      <w:pPr>
        <w:spacing w:after="0" w:line="240" w:lineRule="auto"/>
        <w:ind w:firstLine="720"/>
        <w:rPr>
          <w:rFonts w:ascii="Arial" w:hAnsi="Arial" w:cs="Arial"/>
        </w:rPr>
      </w:pPr>
    </w:p>
    <w:p w14:paraId="2C1608DE" w14:textId="77777777" w:rsidR="004A5DEB" w:rsidRPr="0041048B" w:rsidRDefault="004A5DEB" w:rsidP="0041048B">
      <w:pPr>
        <w:spacing w:after="0" w:line="240" w:lineRule="auto"/>
        <w:rPr>
          <w:rFonts w:ascii="Arial" w:hAnsi="Arial" w:cs="Arial"/>
        </w:rPr>
      </w:pPr>
      <w:r w:rsidRPr="0041048B">
        <w:rPr>
          <w:rFonts w:ascii="Arial" w:hAnsi="Arial" w:cs="Arial"/>
        </w:rPr>
        <w:t xml:space="preserve">Lloyd, A., &amp; Hicks, A. (2022). Saturation, acceleration, and information pathologies: The </w:t>
      </w:r>
    </w:p>
    <w:p w14:paraId="645EE85D" w14:textId="77777777" w:rsidR="004A5DEB" w:rsidRPr="0041048B" w:rsidRDefault="004A5DEB" w:rsidP="0041048B">
      <w:pPr>
        <w:spacing w:after="0" w:line="240" w:lineRule="auto"/>
        <w:ind w:firstLine="720"/>
        <w:rPr>
          <w:rFonts w:ascii="Arial" w:hAnsi="Arial" w:cs="Arial"/>
        </w:rPr>
      </w:pPr>
      <w:r w:rsidRPr="0041048B">
        <w:rPr>
          <w:rFonts w:ascii="Arial" w:hAnsi="Arial" w:cs="Arial"/>
        </w:rPr>
        <w:t xml:space="preserve">conditions that influence the emergence of information literacy safeguarding practice in </w:t>
      </w:r>
    </w:p>
    <w:p w14:paraId="28052F13" w14:textId="3268C655" w:rsidR="004A5DEB" w:rsidRPr="0041048B" w:rsidRDefault="004A5DEB" w:rsidP="0041048B">
      <w:pPr>
        <w:spacing w:after="0" w:line="240" w:lineRule="auto"/>
        <w:ind w:firstLine="720"/>
        <w:rPr>
          <w:rFonts w:ascii="Arial" w:hAnsi="Arial" w:cs="Arial"/>
        </w:rPr>
      </w:pPr>
      <w:r w:rsidRPr="0041048B">
        <w:rPr>
          <w:rFonts w:ascii="Arial" w:hAnsi="Arial" w:cs="Arial"/>
        </w:rPr>
        <w:t xml:space="preserve">COVID-19-environments. </w:t>
      </w:r>
      <w:r w:rsidRPr="0041048B">
        <w:rPr>
          <w:rFonts w:ascii="Arial" w:hAnsi="Arial" w:cs="Arial"/>
          <w:i/>
        </w:rPr>
        <w:t>Journal of Documentation, 78</w:t>
      </w:r>
      <w:r w:rsidRPr="0041048B">
        <w:rPr>
          <w:rFonts w:ascii="Arial" w:hAnsi="Arial" w:cs="Arial"/>
        </w:rPr>
        <w:t>(5), 1008</w:t>
      </w:r>
      <w:r w:rsidR="00C41565" w:rsidRPr="0041048B">
        <w:rPr>
          <w:rFonts w:ascii="Arial" w:hAnsi="Arial" w:cs="Arial"/>
        </w:rPr>
        <w:t>–</w:t>
      </w:r>
      <w:r w:rsidRPr="0041048B">
        <w:rPr>
          <w:rFonts w:ascii="Arial" w:hAnsi="Arial" w:cs="Arial"/>
        </w:rPr>
        <w:t>1026.</w:t>
      </w:r>
    </w:p>
    <w:p w14:paraId="002A9877" w14:textId="77777777" w:rsidR="004A5DEB" w:rsidRPr="0041048B" w:rsidRDefault="004A5DEB" w:rsidP="0041048B">
      <w:pPr>
        <w:spacing w:after="0" w:line="240" w:lineRule="auto"/>
        <w:ind w:firstLine="720"/>
        <w:rPr>
          <w:rFonts w:ascii="Arial" w:hAnsi="Arial" w:cs="Arial"/>
        </w:rPr>
      </w:pPr>
    </w:p>
    <w:p w14:paraId="69EBA5F8" w14:textId="77777777" w:rsidR="004A5DEB" w:rsidRPr="0041048B" w:rsidRDefault="004A5DEB" w:rsidP="0041048B">
      <w:pPr>
        <w:spacing w:after="0" w:line="240" w:lineRule="auto"/>
        <w:rPr>
          <w:rFonts w:ascii="Arial" w:hAnsi="Arial" w:cs="Arial"/>
        </w:rPr>
      </w:pPr>
      <w:r w:rsidRPr="0041048B">
        <w:rPr>
          <w:rFonts w:ascii="Arial" w:hAnsi="Arial" w:cs="Arial"/>
        </w:rPr>
        <w:t xml:space="preserve">McMenemy, D., &amp; Buchanan, S. (2019). Character building in children’s online information </w:t>
      </w:r>
    </w:p>
    <w:p w14:paraId="104B1288" w14:textId="77777777" w:rsidR="004A5DEB" w:rsidRPr="0041048B" w:rsidRDefault="004A5DEB" w:rsidP="0041048B">
      <w:pPr>
        <w:spacing w:after="0" w:line="240" w:lineRule="auto"/>
        <w:ind w:firstLine="720"/>
        <w:rPr>
          <w:rFonts w:ascii="Arial" w:hAnsi="Arial" w:cs="Arial"/>
        </w:rPr>
      </w:pPr>
      <w:r w:rsidRPr="0041048B">
        <w:rPr>
          <w:rFonts w:ascii="Arial" w:hAnsi="Arial" w:cs="Arial"/>
        </w:rPr>
        <w:t xml:space="preserve">behaviours: applying a virtue epistemology perspective to information literacy. In </w:t>
      </w:r>
    </w:p>
    <w:p w14:paraId="2B12B36A" w14:textId="77777777" w:rsidR="004A5DEB" w:rsidRPr="0041048B" w:rsidRDefault="004A5DEB" w:rsidP="0041048B">
      <w:pPr>
        <w:spacing w:after="0" w:line="240" w:lineRule="auto"/>
        <w:ind w:firstLine="720"/>
        <w:rPr>
          <w:rFonts w:ascii="Arial" w:hAnsi="Arial" w:cs="Arial"/>
          <w:i/>
        </w:rPr>
      </w:pPr>
      <w:r w:rsidRPr="0041048B">
        <w:rPr>
          <w:rFonts w:ascii="Arial" w:hAnsi="Arial" w:cs="Arial"/>
          <w:i/>
        </w:rPr>
        <w:t xml:space="preserve">Information Literacy in Everyday Life: 6th European Conference, ECIL 2018, Oulu, </w:t>
      </w:r>
    </w:p>
    <w:p w14:paraId="0779B258" w14:textId="2F0FA4F6" w:rsidR="004A5DEB" w:rsidRPr="0041048B" w:rsidRDefault="004A5DEB" w:rsidP="0041048B">
      <w:pPr>
        <w:spacing w:after="0" w:line="240" w:lineRule="auto"/>
        <w:ind w:firstLine="720"/>
        <w:rPr>
          <w:rFonts w:ascii="Arial" w:hAnsi="Arial" w:cs="Arial"/>
        </w:rPr>
      </w:pPr>
      <w:r w:rsidRPr="0041048B">
        <w:rPr>
          <w:rFonts w:ascii="Arial" w:hAnsi="Arial" w:cs="Arial"/>
          <w:i/>
        </w:rPr>
        <w:t xml:space="preserve">Finland, September 24–27, 2018 </w:t>
      </w:r>
      <w:r w:rsidRPr="0041048B">
        <w:rPr>
          <w:rFonts w:ascii="Arial" w:hAnsi="Arial" w:cs="Arial"/>
        </w:rPr>
        <w:t>(pp. 73</w:t>
      </w:r>
      <w:r w:rsidR="00C41565" w:rsidRPr="0041048B">
        <w:rPr>
          <w:rFonts w:ascii="Arial" w:hAnsi="Arial" w:cs="Arial"/>
        </w:rPr>
        <w:t>–</w:t>
      </w:r>
      <w:r w:rsidRPr="0041048B">
        <w:rPr>
          <w:rFonts w:ascii="Arial" w:hAnsi="Arial" w:cs="Arial"/>
        </w:rPr>
        <w:t>82). Springer International Publishing.</w:t>
      </w:r>
    </w:p>
    <w:p w14:paraId="76BD0C95" w14:textId="77777777" w:rsidR="004A5DEB" w:rsidRPr="0041048B" w:rsidRDefault="004A5DEB" w:rsidP="0041048B">
      <w:pPr>
        <w:spacing w:after="0" w:line="240" w:lineRule="auto"/>
        <w:ind w:firstLine="720"/>
        <w:rPr>
          <w:rFonts w:ascii="Arial" w:hAnsi="Arial" w:cs="Arial"/>
        </w:rPr>
      </w:pPr>
    </w:p>
    <w:p w14:paraId="62BB7C5C" w14:textId="0F96E757" w:rsidR="004A5DEB" w:rsidRPr="0041048B" w:rsidRDefault="004A5DEB" w:rsidP="0041048B">
      <w:pPr>
        <w:spacing w:after="0" w:line="240" w:lineRule="auto"/>
        <w:rPr>
          <w:rStyle w:val="Hyperlink"/>
          <w:rFonts w:ascii="Arial" w:hAnsi="Arial" w:cs="Arial"/>
        </w:rPr>
      </w:pPr>
      <w:proofErr w:type="spellStart"/>
      <w:r w:rsidRPr="0041048B">
        <w:rPr>
          <w:rFonts w:ascii="Arial" w:hAnsi="Arial" w:cs="Arial"/>
        </w:rPr>
        <w:t>Pilerot</w:t>
      </w:r>
      <w:proofErr w:type="spellEnd"/>
      <w:r w:rsidRPr="0041048B">
        <w:rPr>
          <w:rFonts w:ascii="Arial" w:hAnsi="Arial" w:cs="Arial"/>
        </w:rPr>
        <w:t xml:space="preserve">, O., &amp; Lindberg, J. (2011). </w:t>
      </w:r>
      <w:r w:rsidR="003A2DD9" w:rsidRPr="0041048B">
        <w:rPr>
          <w:rFonts w:ascii="Arial" w:hAnsi="Arial" w:cs="Arial"/>
        </w:rPr>
        <w:fldChar w:fldCharType="begin"/>
      </w:r>
      <w:r w:rsidR="003A2DD9" w:rsidRPr="0041048B">
        <w:rPr>
          <w:rFonts w:ascii="Arial" w:hAnsi="Arial" w:cs="Arial"/>
        </w:rPr>
        <w:instrText xml:space="preserve"> HYPERLINK "https://doi.org/10.1353/lib.2011.0040" </w:instrText>
      </w:r>
      <w:r w:rsidR="003A2DD9" w:rsidRPr="0041048B">
        <w:rPr>
          <w:rFonts w:ascii="Arial" w:hAnsi="Arial" w:cs="Arial"/>
        </w:rPr>
      </w:r>
      <w:r w:rsidR="003A2DD9" w:rsidRPr="0041048B">
        <w:rPr>
          <w:rFonts w:ascii="Arial" w:hAnsi="Arial" w:cs="Arial"/>
        </w:rPr>
        <w:fldChar w:fldCharType="separate"/>
      </w:r>
      <w:r w:rsidRPr="0041048B">
        <w:rPr>
          <w:rStyle w:val="Hyperlink"/>
          <w:rFonts w:ascii="Arial" w:hAnsi="Arial" w:cs="Arial"/>
        </w:rPr>
        <w:t xml:space="preserve">The concept of information literacy in policy-making texts: an </w:t>
      </w:r>
    </w:p>
    <w:p w14:paraId="4D9EBD92" w14:textId="126E745A" w:rsidR="004A5DEB" w:rsidRPr="0041048B" w:rsidRDefault="004A5DEB" w:rsidP="0041048B">
      <w:pPr>
        <w:spacing w:after="0" w:line="240" w:lineRule="auto"/>
        <w:ind w:firstLine="720"/>
        <w:rPr>
          <w:rFonts w:ascii="Arial" w:hAnsi="Arial" w:cs="Arial"/>
        </w:rPr>
      </w:pPr>
      <w:r w:rsidRPr="0041048B">
        <w:rPr>
          <w:rStyle w:val="Hyperlink"/>
          <w:rFonts w:ascii="Arial" w:hAnsi="Arial" w:cs="Arial"/>
        </w:rPr>
        <w:t>imperialistic project?</w:t>
      </w:r>
      <w:r w:rsidR="003A2DD9" w:rsidRPr="0041048B">
        <w:rPr>
          <w:rFonts w:ascii="Arial" w:hAnsi="Arial" w:cs="Arial"/>
        </w:rPr>
        <w:fldChar w:fldCharType="end"/>
      </w:r>
      <w:r w:rsidRPr="0041048B">
        <w:rPr>
          <w:rFonts w:ascii="Arial" w:hAnsi="Arial" w:cs="Arial"/>
        </w:rPr>
        <w:t xml:space="preserve">. </w:t>
      </w:r>
      <w:r w:rsidRPr="0041048B">
        <w:rPr>
          <w:rFonts w:ascii="Arial" w:hAnsi="Arial" w:cs="Arial"/>
          <w:i/>
        </w:rPr>
        <w:t>Library Trends</w:t>
      </w:r>
      <w:r w:rsidRPr="0041048B">
        <w:rPr>
          <w:rFonts w:ascii="Arial" w:hAnsi="Arial" w:cs="Arial"/>
        </w:rPr>
        <w:t xml:space="preserve">, </w:t>
      </w:r>
      <w:r w:rsidRPr="0041048B">
        <w:rPr>
          <w:rFonts w:ascii="Arial" w:hAnsi="Arial" w:cs="Arial"/>
          <w:i/>
        </w:rPr>
        <w:t>60</w:t>
      </w:r>
      <w:r w:rsidRPr="0041048B">
        <w:rPr>
          <w:rFonts w:ascii="Arial" w:hAnsi="Arial" w:cs="Arial"/>
        </w:rPr>
        <w:t>(2), 338</w:t>
      </w:r>
      <w:r w:rsidR="00C41565" w:rsidRPr="0041048B">
        <w:rPr>
          <w:rFonts w:ascii="Arial" w:hAnsi="Arial" w:cs="Arial"/>
        </w:rPr>
        <w:t>–</w:t>
      </w:r>
      <w:r w:rsidRPr="0041048B">
        <w:rPr>
          <w:rFonts w:ascii="Arial" w:hAnsi="Arial" w:cs="Arial"/>
        </w:rPr>
        <w:t>360.</w:t>
      </w:r>
    </w:p>
    <w:p w14:paraId="753E83CC" w14:textId="77777777" w:rsidR="004A5DEB" w:rsidRPr="0041048B" w:rsidRDefault="004A5DEB" w:rsidP="0041048B">
      <w:pPr>
        <w:spacing w:after="0" w:line="240" w:lineRule="auto"/>
        <w:ind w:firstLine="720"/>
        <w:rPr>
          <w:rFonts w:ascii="Arial" w:hAnsi="Arial" w:cs="Arial"/>
        </w:rPr>
      </w:pPr>
    </w:p>
    <w:p w14:paraId="5DDB764F" w14:textId="77777777" w:rsidR="004A5DEB" w:rsidRPr="0041048B" w:rsidRDefault="004A5DEB" w:rsidP="0041048B">
      <w:pPr>
        <w:spacing w:after="0" w:line="240" w:lineRule="auto"/>
        <w:rPr>
          <w:rFonts w:ascii="Arial" w:hAnsi="Arial" w:cs="Arial"/>
        </w:rPr>
      </w:pPr>
      <w:r w:rsidRPr="0041048B">
        <w:rPr>
          <w:rFonts w:ascii="Arial" w:hAnsi="Arial" w:cs="Arial"/>
        </w:rPr>
        <w:t xml:space="preserve">Rockman, I. F. (2002). Strengthening connections between information literacy, general </w:t>
      </w:r>
    </w:p>
    <w:p w14:paraId="4756A099" w14:textId="6852404D" w:rsidR="004A5DEB" w:rsidRPr="0041048B" w:rsidRDefault="004A5DEB" w:rsidP="0041048B">
      <w:pPr>
        <w:spacing w:after="0" w:line="240" w:lineRule="auto"/>
        <w:ind w:firstLine="720"/>
        <w:rPr>
          <w:rFonts w:ascii="Arial" w:hAnsi="Arial" w:cs="Arial"/>
        </w:rPr>
      </w:pPr>
      <w:r w:rsidRPr="0041048B">
        <w:rPr>
          <w:rFonts w:ascii="Arial" w:hAnsi="Arial" w:cs="Arial"/>
        </w:rPr>
        <w:t xml:space="preserve">education, and assessment efforts. </w:t>
      </w:r>
      <w:r w:rsidRPr="0041048B">
        <w:rPr>
          <w:rFonts w:ascii="Arial" w:hAnsi="Arial" w:cs="Arial"/>
          <w:i/>
        </w:rPr>
        <w:t>Library Trends</w:t>
      </w:r>
      <w:r w:rsidRPr="0041048B">
        <w:rPr>
          <w:rFonts w:ascii="Arial" w:hAnsi="Arial" w:cs="Arial"/>
        </w:rPr>
        <w:t xml:space="preserve">, </w:t>
      </w:r>
      <w:r w:rsidRPr="0041048B">
        <w:rPr>
          <w:rFonts w:ascii="Arial" w:hAnsi="Arial" w:cs="Arial"/>
          <w:i/>
        </w:rPr>
        <w:t>51</w:t>
      </w:r>
      <w:r w:rsidRPr="0041048B">
        <w:rPr>
          <w:rFonts w:ascii="Arial" w:hAnsi="Arial" w:cs="Arial"/>
        </w:rPr>
        <w:t>(2), 185</w:t>
      </w:r>
      <w:r w:rsidR="00C41565" w:rsidRPr="0041048B">
        <w:rPr>
          <w:rFonts w:ascii="Arial" w:hAnsi="Arial" w:cs="Arial"/>
        </w:rPr>
        <w:t>–</w:t>
      </w:r>
      <w:r w:rsidRPr="0041048B">
        <w:rPr>
          <w:rFonts w:ascii="Arial" w:hAnsi="Arial" w:cs="Arial"/>
        </w:rPr>
        <w:t xml:space="preserve">196. </w:t>
      </w:r>
    </w:p>
    <w:p w14:paraId="6053F730" w14:textId="77777777" w:rsidR="004A5DEB" w:rsidRPr="0041048B" w:rsidRDefault="004A5DEB" w:rsidP="0041048B">
      <w:pPr>
        <w:spacing w:after="0" w:line="240" w:lineRule="auto"/>
        <w:ind w:firstLine="720"/>
        <w:rPr>
          <w:rFonts w:ascii="Arial" w:hAnsi="Arial" w:cs="Arial"/>
        </w:rPr>
      </w:pPr>
    </w:p>
    <w:p w14:paraId="615BD6A3" w14:textId="77777777" w:rsidR="004A5DEB" w:rsidRPr="0041048B" w:rsidRDefault="004A5DEB" w:rsidP="0041048B">
      <w:pPr>
        <w:spacing w:after="0" w:line="240" w:lineRule="auto"/>
        <w:rPr>
          <w:rFonts w:ascii="Arial" w:hAnsi="Arial" w:cs="Arial"/>
        </w:rPr>
      </w:pPr>
      <w:r w:rsidRPr="0041048B">
        <w:rPr>
          <w:rFonts w:ascii="Arial" w:hAnsi="Arial" w:cs="Arial"/>
        </w:rPr>
        <w:t xml:space="preserve">Rosenblatt, E. L. (2010). A theory of IP's negative space. </w:t>
      </w:r>
      <w:r w:rsidRPr="0041048B">
        <w:rPr>
          <w:rFonts w:ascii="Arial" w:hAnsi="Arial" w:cs="Arial"/>
          <w:i/>
        </w:rPr>
        <w:t>Columbia Journal of Law &amp; the Arts</w:t>
      </w:r>
      <w:r w:rsidRPr="0041048B">
        <w:rPr>
          <w:rFonts w:ascii="Arial" w:hAnsi="Arial" w:cs="Arial"/>
        </w:rPr>
        <w:t xml:space="preserve">, </w:t>
      </w:r>
    </w:p>
    <w:p w14:paraId="1B4608E1" w14:textId="37CA9605" w:rsidR="004A5DEB" w:rsidRPr="0041048B" w:rsidRDefault="004A5DEB" w:rsidP="0041048B">
      <w:pPr>
        <w:spacing w:after="0" w:line="240" w:lineRule="auto"/>
        <w:ind w:firstLine="720"/>
        <w:rPr>
          <w:rFonts w:ascii="Arial" w:hAnsi="Arial" w:cs="Arial"/>
        </w:rPr>
      </w:pPr>
      <w:r w:rsidRPr="0041048B">
        <w:rPr>
          <w:rFonts w:ascii="Arial" w:hAnsi="Arial" w:cs="Arial"/>
          <w:i/>
        </w:rPr>
        <w:t>34</w:t>
      </w:r>
      <w:r w:rsidRPr="0041048B">
        <w:rPr>
          <w:rFonts w:ascii="Arial" w:hAnsi="Arial" w:cs="Arial"/>
        </w:rPr>
        <w:t>(3), 317</w:t>
      </w:r>
      <w:r w:rsidR="00C41565" w:rsidRPr="0041048B">
        <w:rPr>
          <w:rFonts w:ascii="Arial" w:hAnsi="Arial" w:cs="Arial"/>
        </w:rPr>
        <w:t>–</w:t>
      </w:r>
      <w:r w:rsidRPr="0041048B">
        <w:rPr>
          <w:rFonts w:ascii="Arial" w:hAnsi="Arial" w:cs="Arial"/>
        </w:rPr>
        <w:t xml:space="preserve">366. </w:t>
      </w:r>
    </w:p>
    <w:p w14:paraId="5731B675" w14:textId="77777777" w:rsidR="004A5DEB" w:rsidRPr="0041048B" w:rsidRDefault="004A5DEB" w:rsidP="0041048B">
      <w:pPr>
        <w:spacing w:after="0" w:line="240" w:lineRule="auto"/>
        <w:ind w:firstLine="720"/>
        <w:rPr>
          <w:rFonts w:ascii="Arial" w:hAnsi="Arial" w:cs="Arial"/>
        </w:rPr>
      </w:pPr>
    </w:p>
    <w:p w14:paraId="68CF5529" w14:textId="39CDEEC9" w:rsidR="004A5DEB" w:rsidRPr="0041048B" w:rsidRDefault="004A5DEB" w:rsidP="0041048B">
      <w:pPr>
        <w:spacing w:after="0" w:line="240" w:lineRule="auto"/>
        <w:rPr>
          <w:rStyle w:val="Hyperlink"/>
          <w:rFonts w:ascii="Arial" w:hAnsi="Arial" w:cs="Arial"/>
          <w:i/>
        </w:rPr>
      </w:pPr>
      <w:r w:rsidRPr="0041048B">
        <w:rPr>
          <w:rFonts w:ascii="Arial" w:hAnsi="Arial" w:cs="Arial"/>
        </w:rPr>
        <w:lastRenderedPageBreak/>
        <w:t xml:space="preserve">Ryan, B., Cruickshank, P., &amp; </w:t>
      </w:r>
      <w:proofErr w:type="spellStart"/>
      <w:r w:rsidRPr="0041048B">
        <w:rPr>
          <w:rFonts w:ascii="Arial" w:hAnsi="Arial" w:cs="Arial"/>
        </w:rPr>
        <w:t>Milosheva</w:t>
      </w:r>
      <w:proofErr w:type="spellEnd"/>
      <w:r w:rsidRPr="0041048B">
        <w:rPr>
          <w:rFonts w:ascii="Arial" w:hAnsi="Arial" w:cs="Arial"/>
        </w:rPr>
        <w:t xml:space="preserve">, M. (2023). </w:t>
      </w:r>
      <w:r w:rsidR="003A2DD9" w:rsidRPr="0041048B">
        <w:rPr>
          <w:rFonts w:ascii="Arial" w:hAnsi="Arial" w:cs="Arial"/>
          <w:i/>
        </w:rPr>
        <w:fldChar w:fldCharType="begin"/>
      </w:r>
      <w:r w:rsidR="003A2DD9" w:rsidRPr="0041048B">
        <w:rPr>
          <w:rFonts w:ascii="Arial" w:hAnsi="Arial" w:cs="Arial"/>
          <w:i/>
        </w:rPr>
        <w:instrText xml:space="preserve"> HYPERLINK "https://doi.org/10.1007/978-3-031-52998-6_2" </w:instrText>
      </w:r>
      <w:r w:rsidR="003A2DD9" w:rsidRPr="0041048B">
        <w:rPr>
          <w:rFonts w:ascii="Arial" w:hAnsi="Arial" w:cs="Arial"/>
          <w:i/>
        </w:rPr>
      </w:r>
      <w:r w:rsidR="003A2DD9" w:rsidRPr="0041048B">
        <w:rPr>
          <w:rFonts w:ascii="Arial" w:hAnsi="Arial" w:cs="Arial"/>
          <w:i/>
        </w:rPr>
        <w:fldChar w:fldCharType="separate"/>
      </w:r>
      <w:r w:rsidRPr="0041048B">
        <w:rPr>
          <w:rStyle w:val="Hyperlink"/>
          <w:rFonts w:ascii="Arial" w:hAnsi="Arial" w:cs="Arial"/>
          <w:i/>
        </w:rPr>
        <w:t xml:space="preserve">Information literacy and society: A report to </w:t>
      </w:r>
    </w:p>
    <w:p w14:paraId="7502F349" w14:textId="77777777" w:rsidR="004A5DEB" w:rsidRPr="0041048B" w:rsidRDefault="004A5DEB" w:rsidP="0041048B">
      <w:pPr>
        <w:spacing w:after="0" w:line="240" w:lineRule="auto"/>
        <w:ind w:firstLine="720"/>
        <w:rPr>
          <w:rStyle w:val="Hyperlink"/>
          <w:rFonts w:ascii="Arial" w:hAnsi="Arial" w:cs="Arial"/>
          <w:i/>
        </w:rPr>
      </w:pPr>
      <w:r w:rsidRPr="0041048B">
        <w:rPr>
          <w:rStyle w:val="Hyperlink"/>
          <w:rFonts w:ascii="Arial" w:hAnsi="Arial" w:cs="Arial"/>
          <w:i/>
        </w:rPr>
        <w:t xml:space="preserve">present findings from a review of literature on the impact of information literacy on </w:t>
      </w:r>
    </w:p>
    <w:p w14:paraId="0D3C3F38" w14:textId="59BA2FDA" w:rsidR="004A5DEB" w:rsidRPr="0041048B" w:rsidRDefault="003A2DD9" w:rsidP="0041048B">
      <w:pPr>
        <w:spacing w:after="0" w:line="240" w:lineRule="auto"/>
        <w:ind w:firstLine="720"/>
        <w:rPr>
          <w:rFonts w:ascii="Arial" w:hAnsi="Arial" w:cs="Arial"/>
        </w:rPr>
      </w:pPr>
      <w:r w:rsidRPr="0041048B">
        <w:rPr>
          <w:rStyle w:val="Hyperlink"/>
          <w:rFonts w:ascii="Arial" w:hAnsi="Arial" w:cs="Arial"/>
          <w:i/>
        </w:rPr>
        <w:t>s</w:t>
      </w:r>
      <w:r w:rsidR="004A5DEB" w:rsidRPr="0041048B">
        <w:rPr>
          <w:rStyle w:val="Hyperlink"/>
          <w:rFonts w:ascii="Arial" w:hAnsi="Arial" w:cs="Arial"/>
          <w:i/>
        </w:rPr>
        <w:t>ociety</w:t>
      </w:r>
      <w:r w:rsidRPr="0041048B">
        <w:rPr>
          <w:rFonts w:ascii="Arial" w:hAnsi="Arial" w:cs="Arial"/>
          <w:i/>
        </w:rPr>
        <w:fldChar w:fldCharType="end"/>
      </w:r>
      <w:r w:rsidR="004A5DEB" w:rsidRPr="0041048B">
        <w:rPr>
          <w:rFonts w:ascii="Arial" w:hAnsi="Arial" w:cs="Arial"/>
        </w:rPr>
        <w:t xml:space="preserve">. Media and Information Literacy Alliance. </w:t>
      </w:r>
    </w:p>
    <w:p w14:paraId="6E90998C" w14:textId="77777777" w:rsidR="004A5DEB" w:rsidRPr="0041048B" w:rsidRDefault="004A5DEB" w:rsidP="0041048B">
      <w:pPr>
        <w:spacing w:after="0" w:line="240" w:lineRule="auto"/>
        <w:ind w:firstLine="720"/>
        <w:rPr>
          <w:rFonts w:ascii="Arial" w:hAnsi="Arial" w:cs="Arial"/>
        </w:rPr>
      </w:pPr>
    </w:p>
    <w:p w14:paraId="5B51F905" w14:textId="4757069E" w:rsidR="004A5DEB" w:rsidRPr="0041048B" w:rsidRDefault="004A5DEB" w:rsidP="0041048B">
      <w:pPr>
        <w:spacing w:after="0" w:line="240" w:lineRule="auto"/>
        <w:rPr>
          <w:rFonts w:ascii="Arial" w:hAnsi="Arial" w:cs="Arial"/>
          <w:i/>
        </w:rPr>
      </w:pPr>
      <w:r w:rsidRPr="0041048B">
        <w:rPr>
          <w:rFonts w:ascii="Arial" w:hAnsi="Arial" w:cs="Arial"/>
        </w:rPr>
        <w:t xml:space="preserve">Seale, M. (2016). </w:t>
      </w:r>
      <w:hyperlink r:id="rId22" w:history="1">
        <w:r w:rsidRPr="0041048B">
          <w:rPr>
            <w:rStyle w:val="Hyperlink"/>
            <w:rFonts w:ascii="Arial" w:hAnsi="Arial" w:cs="Arial"/>
          </w:rPr>
          <w:t>Enlightenment, neoliberalism, and information literacy</w:t>
        </w:r>
      </w:hyperlink>
      <w:r w:rsidRPr="0041048B">
        <w:rPr>
          <w:rFonts w:ascii="Arial" w:hAnsi="Arial" w:cs="Arial"/>
        </w:rPr>
        <w:t xml:space="preserve">. </w:t>
      </w:r>
      <w:r w:rsidRPr="0041048B">
        <w:rPr>
          <w:rFonts w:ascii="Arial" w:hAnsi="Arial" w:cs="Arial"/>
          <w:i/>
        </w:rPr>
        <w:t xml:space="preserve">Canadian Journal of </w:t>
      </w:r>
    </w:p>
    <w:p w14:paraId="72CB1F10" w14:textId="516FE25C" w:rsidR="004A5DEB" w:rsidRPr="0041048B" w:rsidRDefault="004A5DEB" w:rsidP="0041048B">
      <w:pPr>
        <w:spacing w:after="0" w:line="240" w:lineRule="auto"/>
        <w:ind w:firstLine="720"/>
        <w:rPr>
          <w:rFonts w:ascii="Arial" w:hAnsi="Arial" w:cs="Arial"/>
        </w:rPr>
      </w:pPr>
      <w:r w:rsidRPr="0041048B">
        <w:rPr>
          <w:rFonts w:ascii="Arial" w:hAnsi="Arial" w:cs="Arial"/>
          <w:i/>
        </w:rPr>
        <w:t>Academic Librarianship</w:t>
      </w:r>
      <w:r w:rsidRPr="0041048B">
        <w:rPr>
          <w:rFonts w:ascii="Arial" w:hAnsi="Arial" w:cs="Arial"/>
        </w:rPr>
        <w:t xml:space="preserve">, </w:t>
      </w:r>
      <w:r w:rsidRPr="0041048B">
        <w:rPr>
          <w:rFonts w:ascii="Arial" w:hAnsi="Arial" w:cs="Arial"/>
          <w:i/>
        </w:rPr>
        <w:t>1</w:t>
      </w:r>
      <w:r w:rsidRPr="0041048B">
        <w:rPr>
          <w:rFonts w:ascii="Arial" w:hAnsi="Arial" w:cs="Arial"/>
        </w:rPr>
        <w:t>, 80</w:t>
      </w:r>
      <w:r w:rsidR="00C41565" w:rsidRPr="0041048B">
        <w:rPr>
          <w:rFonts w:ascii="Arial" w:hAnsi="Arial" w:cs="Arial"/>
        </w:rPr>
        <w:t>–</w:t>
      </w:r>
      <w:r w:rsidRPr="0041048B">
        <w:rPr>
          <w:rFonts w:ascii="Arial" w:hAnsi="Arial" w:cs="Arial"/>
        </w:rPr>
        <w:t>91.</w:t>
      </w:r>
    </w:p>
    <w:p w14:paraId="375A9C41" w14:textId="77777777" w:rsidR="004A5DEB" w:rsidRPr="0041048B" w:rsidRDefault="004A5DEB" w:rsidP="0041048B">
      <w:pPr>
        <w:spacing w:after="0" w:line="240" w:lineRule="auto"/>
        <w:ind w:firstLine="720"/>
        <w:rPr>
          <w:rFonts w:ascii="Arial" w:hAnsi="Arial" w:cs="Arial"/>
        </w:rPr>
      </w:pPr>
    </w:p>
    <w:p w14:paraId="75739861" w14:textId="5F122087" w:rsidR="004A5DEB" w:rsidRPr="0041048B" w:rsidRDefault="004A5DEB" w:rsidP="0041048B">
      <w:pPr>
        <w:spacing w:after="0" w:line="240" w:lineRule="auto"/>
        <w:rPr>
          <w:rFonts w:ascii="Arial" w:hAnsi="Arial" w:cs="Arial"/>
          <w:i/>
          <w:iCs/>
        </w:rPr>
      </w:pPr>
      <w:r w:rsidRPr="0041048B">
        <w:rPr>
          <w:rFonts w:ascii="Arial" w:hAnsi="Arial" w:cs="Arial"/>
        </w:rPr>
        <w:t xml:space="preserve">Simonds, S. K. (1974). </w:t>
      </w:r>
      <w:hyperlink r:id="rId23" w:history="1">
        <w:r w:rsidRPr="0041048B">
          <w:rPr>
            <w:rStyle w:val="Hyperlink"/>
            <w:rFonts w:ascii="Arial" w:hAnsi="Arial" w:cs="Arial"/>
          </w:rPr>
          <w:t>Health education as social policy</w:t>
        </w:r>
      </w:hyperlink>
      <w:r w:rsidRPr="0041048B">
        <w:rPr>
          <w:rFonts w:ascii="Arial" w:hAnsi="Arial" w:cs="Arial"/>
        </w:rPr>
        <w:t xml:space="preserve">. </w:t>
      </w:r>
      <w:r w:rsidRPr="0041048B">
        <w:rPr>
          <w:rFonts w:ascii="Arial" w:hAnsi="Arial" w:cs="Arial"/>
          <w:i/>
          <w:iCs/>
        </w:rPr>
        <w:t>Health Education Monographs,</w:t>
      </w:r>
    </w:p>
    <w:p w14:paraId="6EA9ACE8" w14:textId="22B6FD68" w:rsidR="004A5DEB" w:rsidRPr="0041048B" w:rsidRDefault="004A5DEB" w:rsidP="0041048B">
      <w:pPr>
        <w:spacing w:after="0" w:line="240" w:lineRule="auto"/>
        <w:ind w:firstLine="720"/>
        <w:rPr>
          <w:rFonts w:ascii="Arial" w:hAnsi="Arial" w:cs="Arial"/>
        </w:rPr>
      </w:pPr>
      <w:r w:rsidRPr="0041048B">
        <w:rPr>
          <w:rFonts w:ascii="Arial" w:hAnsi="Arial" w:cs="Arial"/>
          <w:i/>
          <w:iCs/>
        </w:rPr>
        <w:t>2</w:t>
      </w:r>
      <w:r w:rsidRPr="0041048B">
        <w:rPr>
          <w:rFonts w:ascii="Arial" w:hAnsi="Arial" w:cs="Arial"/>
        </w:rPr>
        <w:t>(1), 1</w:t>
      </w:r>
      <w:r w:rsidR="00C41565" w:rsidRPr="0041048B">
        <w:rPr>
          <w:rFonts w:ascii="Arial" w:hAnsi="Arial" w:cs="Arial"/>
        </w:rPr>
        <w:t>–</w:t>
      </w:r>
      <w:r w:rsidRPr="0041048B">
        <w:rPr>
          <w:rFonts w:ascii="Arial" w:hAnsi="Arial" w:cs="Arial"/>
        </w:rPr>
        <w:t>10.</w:t>
      </w:r>
    </w:p>
    <w:p w14:paraId="085BD55D" w14:textId="77777777" w:rsidR="004A5DEB" w:rsidRPr="0041048B" w:rsidRDefault="004A5DEB" w:rsidP="0041048B">
      <w:pPr>
        <w:spacing w:after="0" w:line="240" w:lineRule="auto"/>
        <w:ind w:firstLine="720"/>
        <w:rPr>
          <w:rFonts w:ascii="Arial" w:hAnsi="Arial" w:cs="Arial"/>
        </w:rPr>
      </w:pPr>
    </w:p>
    <w:p w14:paraId="7E5B413B" w14:textId="2EB0A800" w:rsidR="004A5DEB" w:rsidRPr="0041048B" w:rsidRDefault="004A5DEB" w:rsidP="0041048B">
      <w:pPr>
        <w:spacing w:after="0" w:line="240" w:lineRule="auto"/>
        <w:rPr>
          <w:rFonts w:ascii="Arial" w:hAnsi="Arial" w:cs="Arial"/>
        </w:rPr>
      </w:pPr>
      <w:proofErr w:type="spellStart"/>
      <w:r w:rsidRPr="0041048B">
        <w:rPr>
          <w:rFonts w:ascii="Arial" w:hAnsi="Arial" w:cs="Arial"/>
        </w:rPr>
        <w:t>Tewell</w:t>
      </w:r>
      <w:proofErr w:type="spellEnd"/>
      <w:r w:rsidRPr="0041048B">
        <w:rPr>
          <w:rFonts w:ascii="Arial" w:hAnsi="Arial" w:cs="Arial"/>
        </w:rPr>
        <w:t xml:space="preserve">, E. (2015). </w:t>
      </w:r>
      <w:hyperlink r:id="rId24" w:history="1">
        <w:r w:rsidRPr="0041048B">
          <w:rPr>
            <w:rStyle w:val="Hyperlink"/>
            <w:rFonts w:ascii="Arial" w:hAnsi="Arial" w:cs="Arial"/>
          </w:rPr>
          <w:t>A decade of critical information literacy: A review of the literature</w:t>
        </w:r>
      </w:hyperlink>
      <w:r w:rsidRPr="0041048B">
        <w:rPr>
          <w:rFonts w:ascii="Arial" w:hAnsi="Arial" w:cs="Arial"/>
        </w:rPr>
        <w:t xml:space="preserve">. </w:t>
      </w:r>
    </w:p>
    <w:p w14:paraId="0DE26581" w14:textId="461510EC" w:rsidR="004A5DEB" w:rsidRPr="0041048B" w:rsidRDefault="004A5DEB" w:rsidP="0041048B">
      <w:pPr>
        <w:spacing w:after="0" w:line="240" w:lineRule="auto"/>
        <w:ind w:firstLine="720"/>
        <w:rPr>
          <w:rFonts w:ascii="Arial" w:hAnsi="Arial" w:cs="Arial"/>
        </w:rPr>
      </w:pPr>
      <w:r w:rsidRPr="0041048B">
        <w:rPr>
          <w:rFonts w:ascii="Arial" w:hAnsi="Arial" w:cs="Arial"/>
          <w:i/>
        </w:rPr>
        <w:t>Communications in Information Literacy</w:t>
      </w:r>
      <w:r w:rsidRPr="0041048B">
        <w:rPr>
          <w:rFonts w:ascii="Arial" w:hAnsi="Arial" w:cs="Arial"/>
        </w:rPr>
        <w:t xml:space="preserve">, </w:t>
      </w:r>
      <w:r w:rsidRPr="0041048B">
        <w:rPr>
          <w:rFonts w:ascii="Arial" w:hAnsi="Arial" w:cs="Arial"/>
          <w:i/>
        </w:rPr>
        <w:t>9</w:t>
      </w:r>
      <w:r w:rsidRPr="0041048B">
        <w:rPr>
          <w:rFonts w:ascii="Arial" w:hAnsi="Arial" w:cs="Arial"/>
        </w:rPr>
        <w:t>(1), 2.</w:t>
      </w:r>
    </w:p>
    <w:p w14:paraId="31371A28" w14:textId="77777777" w:rsidR="004A5DEB" w:rsidRPr="0041048B" w:rsidRDefault="004A5DEB" w:rsidP="0041048B">
      <w:pPr>
        <w:spacing w:after="0" w:line="240" w:lineRule="auto"/>
        <w:ind w:firstLine="720"/>
        <w:rPr>
          <w:rFonts w:ascii="Arial" w:hAnsi="Arial" w:cs="Arial"/>
        </w:rPr>
      </w:pPr>
    </w:p>
    <w:p w14:paraId="415CBD16" w14:textId="4C9124D3" w:rsidR="004A5DEB" w:rsidRPr="0041048B" w:rsidRDefault="004A5DEB" w:rsidP="0041048B">
      <w:pPr>
        <w:spacing w:after="0" w:line="240" w:lineRule="auto"/>
        <w:rPr>
          <w:rFonts w:ascii="Arial" w:hAnsi="Arial" w:cs="Arial"/>
          <w:i/>
        </w:rPr>
      </w:pPr>
      <w:proofErr w:type="spellStart"/>
      <w:r w:rsidRPr="0041048B">
        <w:rPr>
          <w:rFonts w:ascii="Arial" w:hAnsi="Arial" w:cs="Arial"/>
        </w:rPr>
        <w:t>Tschichold</w:t>
      </w:r>
      <w:proofErr w:type="spellEnd"/>
      <w:r w:rsidRPr="0041048B">
        <w:rPr>
          <w:rFonts w:ascii="Arial" w:hAnsi="Arial" w:cs="Arial"/>
        </w:rPr>
        <w:t xml:space="preserve">, J. (2006). </w:t>
      </w:r>
      <w:hyperlink r:id="rId25" w:history="1">
        <w:r w:rsidRPr="0041048B">
          <w:rPr>
            <w:rStyle w:val="Hyperlink"/>
            <w:rFonts w:ascii="Arial" w:hAnsi="Arial" w:cs="Arial"/>
          </w:rPr>
          <w:t>The history of the new typography</w:t>
        </w:r>
      </w:hyperlink>
      <w:r w:rsidRPr="0041048B">
        <w:rPr>
          <w:rFonts w:ascii="Arial" w:hAnsi="Arial" w:cs="Arial"/>
        </w:rPr>
        <w:t xml:space="preserve">. In: </w:t>
      </w:r>
      <w:proofErr w:type="spellStart"/>
      <w:r w:rsidRPr="0041048B">
        <w:rPr>
          <w:rFonts w:ascii="Arial" w:hAnsi="Arial" w:cs="Arial"/>
        </w:rPr>
        <w:t>Tschichold</w:t>
      </w:r>
      <w:proofErr w:type="spellEnd"/>
      <w:r w:rsidRPr="0041048B">
        <w:rPr>
          <w:rFonts w:ascii="Arial" w:hAnsi="Arial" w:cs="Arial"/>
        </w:rPr>
        <w:t xml:space="preserve">, J. (Ed.) </w:t>
      </w:r>
      <w:r w:rsidRPr="0041048B">
        <w:rPr>
          <w:rFonts w:ascii="Arial" w:hAnsi="Arial" w:cs="Arial"/>
          <w:i/>
        </w:rPr>
        <w:t xml:space="preserve">The New </w:t>
      </w:r>
    </w:p>
    <w:p w14:paraId="1DCEC9D0" w14:textId="0AFC6008" w:rsidR="004A5DEB" w:rsidRPr="0041048B" w:rsidRDefault="004A5DEB" w:rsidP="0041048B">
      <w:pPr>
        <w:spacing w:after="0" w:line="240" w:lineRule="auto"/>
        <w:ind w:firstLine="720"/>
        <w:rPr>
          <w:rFonts w:ascii="Arial" w:hAnsi="Arial" w:cs="Arial"/>
        </w:rPr>
      </w:pPr>
      <w:r w:rsidRPr="0041048B">
        <w:rPr>
          <w:rFonts w:ascii="Arial" w:hAnsi="Arial" w:cs="Arial"/>
          <w:i/>
        </w:rPr>
        <w:t>Typography</w:t>
      </w:r>
      <w:r w:rsidRPr="0041048B">
        <w:rPr>
          <w:rFonts w:ascii="Arial" w:hAnsi="Arial" w:cs="Arial"/>
        </w:rPr>
        <w:t>, University of California Press (pp.</w:t>
      </w:r>
      <w:r w:rsidR="00C41565" w:rsidRPr="0041048B">
        <w:rPr>
          <w:rFonts w:ascii="Arial" w:hAnsi="Arial" w:cs="Arial"/>
        </w:rPr>
        <w:t xml:space="preserve"> </w:t>
      </w:r>
      <w:r w:rsidRPr="0041048B">
        <w:rPr>
          <w:rFonts w:ascii="Arial" w:hAnsi="Arial" w:cs="Arial"/>
        </w:rPr>
        <w:t>52</w:t>
      </w:r>
      <w:r w:rsidR="00C41565" w:rsidRPr="0041048B">
        <w:rPr>
          <w:rFonts w:ascii="Arial" w:hAnsi="Arial" w:cs="Arial"/>
        </w:rPr>
        <w:t>–</w:t>
      </w:r>
      <w:r w:rsidRPr="0041048B">
        <w:rPr>
          <w:rFonts w:ascii="Arial" w:hAnsi="Arial" w:cs="Arial"/>
        </w:rPr>
        <w:t>64).</w:t>
      </w:r>
    </w:p>
    <w:p w14:paraId="74849B2C" w14:textId="77777777" w:rsidR="004A5DEB" w:rsidRPr="0041048B" w:rsidRDefault="004A5DEB" w:rsidP="0041048B">
      <w:pPr>
        <w:spacing w:after="0" w:line="240" w:lineRule="auto"/>
        <w:ind w:firstLine="720"/>
        <w:rPr>
          <w:rFonts w:ascii="Arial" w:hAnsi="Arial" w:cs="Arial"/>
        </w:rPr>
      </w:pPr>
    </w:p>
    <w:p w14:paraId="2120FBB8" w14:textId="622006B6" w:rsidR="004A5DEB" w:rsidRPr="0041048B" w:rsidRDefault="004A5DEB" w:rsidP="0041048B">
      <w:pPr>
        <w:spacing w:after="0" w:line="240" w:lineRule="auto"/>
        <w:rPr>
          <w:rStyle w:val="Hyperlink"/>
          <w:rFonts w:ascii="Arial" w:hAnsi="Arial" w:cs="Arial"/>
        </w:rPr>
      </w:pPr>
      <w:r w:rsidRPr="0041048B">
        <w:rPr>
          <w:rFonts w:ascii="Arial" w:hAnsi="Arial" w:cs="Arial"/>
        </w:rPr>
        <w:t xml:space="preserve">Tuominen, K. (1997). </w:t>
      </w:r>
      <w:r w:rsidR="003A2DD9" w:rsidRPr="0041048B">
        <w:rPr>
          <w:rFonts w:ascii="Arial" w:hAnsi="Arial" w:cs="Arial"/>
        </w:rPr>
        <w:fldChar w:fldCharType="begin"/>
      </w:r>
      <w:r w:rsidR="003A2DD9" w:rsidRPr="0041048B">
        <w:rPr>
          <w:rFonts w:ascii="Arial" w:hAnsi="Arial" w:cs="Arial"/>
        </w:rPr>
        <w:instrText xml:space="preserve"> HYPERLINK "https://doi.org/10.1086/629971" </w:instrText>
      </w:r>
      <w:r w:rsidR="003A2DD9" w:rsidRPr="0041048B">
        <w:rPr>
          <w:rFonts w:ascii="Arial" w:hAnsi="Arial" w:cs="Arial"/>
        </w:rPr>
      </w:r>
      <w:r w:rsidR="003A2DD9" w:rsidRPr="0041048B">
        <w:rPr>
          <w:rFonts w:ascii="Arial" w:hAnsi="Arial" w:cs="Arial"/>
        </w:rPr>
        <w:fldChar w:fldCharType="separate"/>
      </w:r>
      <w:r w:rsidRPr="0041048B">
        <w:rPr>
          <w:rStyle w:val="Hyperlink"/>
          <w:rFonts w:ascii="Arial" w:hAnsi="Arial" w:cs="Arial"/>
        </w:rPr>
        <w:t>User-</w:t>
      </w:r>
      <w:proofErr w:type="spellStart"/>
      <w:r w:rsidRPr="0041048B">
        <w:rPr>
          <w:rStyle w:val="Hyperlink"/>
          <w:rFonts w:ascii="Arial" w:hAnsi="Arial" w:cs="Arial"/>
        </w:rPr>
        <w:t>centered</w:t>
      </w:r>
      <w:proofErr w:type="spellEnd"/>
      <w:r w:rsidRPr="0041048B">
        <w:rPr>
          <w:rStyle w:val="Hyperlink"/>
          <w:rFonts w:ascii="Arial" w:hAnsi="Arial" w:cs="Arial"/>
        </w:rPr>
        <w:t xml:space="preserve"> discourse: </w:t>
      </w:r>
      <w:r w:rsidR="003A2DD9" w:rsidRPr="0041048B">
        <w:rPr>
          <w:rStyle w:val="Hyperlink"/>
          <w:rFonts w:ascii="Arial" w:hAnsi="Arial" w:cs="Arial"/>
        </w:rPr>
        <w:t>A</w:t>
      </w:r>
      <w:r w:rsidRPr="0041048B">
        <w:rPr>
          <w:rStyle w:val="Hyperlink"/>
          <w:rFonts w:ascii="Arial" w:hAnsi="Arial" w:cs="Arial"/>
        </w:rPr>
        <w:t xml:space="preserve">n analysis of the subject positions of the user </w:t>
      </w:r>
    </w:p>
    <w:p w14:paraId="09657C71" w14:textId="156F6379" w:rsidR="004A5DEB" w:rsidRPr="0041048B" w:rsidRDefault="004A5DEB" w:rsidP="0041048B">
      <w:pPr>
        <w:spacing w:after="0" w:line="240" w:lineRule="auto"/>
        <w:ind w:firstLine="720"/>
        <w:rPr>
          <w:rFonts w:ascii="Arial" w:hAnsi="Arial" w:cs="Arial"/>
        </w:rPr>
      </w:pPr>
      <w:r w:rsidRPr="0041048B">
        <w:rPr>
          <w:rStyle w:val="Hyperlink"/>
          <w:rFonts w:ascii="Arial" w:hAnsi="Arial" w:cs="Arial"/>
        </w:rPr>
        <w:t>and the librarian</w:t>
      </w:r>
      <w:r w:rsidR="003A2DD9" w:rsidRPr="0041048B">
        <w:rPr>
          <w:rFonts w:ascii="Arial" w:hAnsi="Arial" w:cs="Arial"/>
        </w:rPr>
        <w:fldChar w:fldCharType="end"/>
      </w:r>
      <w:r w:rsidRPr="0041048B">
        <w:rPr>
          <w:rFonts w:ascii="Arial" w:hAnsi="Arial" w:cs="Arial"/>
        </w:rPr>
        <w:t xml:space="preserve">. </w:t>
      </w:r>
      <w:r w:rsidRPr="0041048B">
        <w:rPr>
          <w:rFonts w:ascii="Arial" w:hAnsi="Arial" w:cs="Arial"/>
          <w:i/>
        </w:rPr>
        <w:t>The Library Quarterly</w:t>
      </w:r>
      <w:r w:rsidRPr="0041048B">
        <w:rPr>
          <w:rFonts w:ascii="Arial" w:hAnsi="Arial" w:cs="Arial"/>
        </w:rPr>
        <w:t xml:space="preserve">, </w:t>
      </w:r>
      <w:r w:rsidRPr="0041048B">
        <w:rPr>
          <w:rFonts w:ascii="Arial" w:hAnsi="Arial" w:cs="Arial"/>
          <w:i/>
        </w:rPr>
        <w:t>67</w:t>
      </w:r>
      <w:r w:rsidRPr="0041048B">
        <w:rPr>
          <w:rFonts w:ascii="Arial" w:hAnsi="Arial" w:cs="Arial"/>
        </w:rPr>
        <w:t>(4), 350</w:t>
      </w:r>
      <w:r w:rsidR="00C41565" w:rsidRPr="0041048B">
        <w:rPr>
          <w:rFonts w:ascii="Arial" w:hAnsi="Arial" w:cs="Arial"/>
        </w:rPr>
        <w:t>–</w:t>
      </w:r>
      <w:r w:rsidRPr="0041048B">
        <w:rPr>
          <w:rFonts w:ascii="Arial" w:hAnsi="Arial" w:cs="Arial"/>
        </w:rPr>
        <w:t>371.</w:t>
      </w:r>
    </w:p>
    <w:p w14:paraId="61FE4638" w14:textId="77777777" w:rsidR="004A5DEB" w:rsidRPr="0041048B" w:rsidRDefault="004A5DEB" w:rsidP="0041048B">
      <w:pPr>
        <w:spacing w:after="0" w:line="240" w:lineRule="auto"/>
        <w:ind w:firstLine="720"/>
        <w:rPr>
          <w:rFonts w:ascii="Arial" w:hAnsi="Arial" w:cs="Arial"/>
        </w:rPr>
      </w:pPr>
    </w:p>
    <w:p w14:paraId="36479B1A" w14:textId="3AEA6948" w:rsidR="0056765F" w:rsidRPr="0041048B" w:rsidRDefault="004A5DEB" w:rsidP="0041048B">
      <w:pPr>
        <w:spacing w:after="0" w:line="240" w:lineRule="auto"/>
        <w:ind w:left="720" w:hanging="720"/>
        <w:rPr>
          <w:rFonts w:ascii="Arial" w:hAnsi="Arial" w:cs="Arial"/>
          <w:i/>
          <w:iCs/>
        </w:rPr>
      </w:pPr>
      <w:r w:rsidRPr="0041048B">
        <w:rPr>
          <w:rFonts w:ascii="Arial" w:hAnsi="Arial" w:cs="Arial"/>
        </w:rPr>
        <w:t xml:space="preserve">Zurkowski, P. G. (1974). </w:t>
      </w:r>
      <w:hyperlink r:id="rId26" w:history="1">
        <w:r w:rsidR="003F14B8" w:rsidRPr="00C9121E">
          <w:rPr>
            <w:rStyle w:val="Hyperlink"/>
            <w:rFonts w:ascii="Arial" w:hAnsi="Arial" w:cs="Arial"/>
            <w:i/>
            <w:iCs/>
          </w:rPr>
          <w:t>The information service environment: Relationships and priorities, related paper number five</w:t>
        </w:r>
      </w:hyperlink>
      <w:r w:rsidR="003F14B8" w:rsidRPr="003F14B8">
        <w:rPr>
          <w:rFonts w:ascii="Arial" w:hAnsi="Arial" w:cs="Arial"/>
          <w:i/>
          <w:iCs/>
        </w:rPr>
        <w:t xml:space="preserve">. </w:t>
      </w:r>
      <w:r w:rsidR="003F14B8" w:rsidRPr="003F14B8">
        <w:rPr>
          <w:rFonts w:ascii="Arial" w:hAnsi="Arial" w:cs="Arial"/>
        </w:rPr>
        <w:t>National Commission on Libraries and Information Science, ERIC document ED 100 391.</w:t>
      </w:r>
    </w:p>
    <w:p w14:paraId="7FD35BE7" w14:textId="77777777" w:rsidR="004A5DEB" w:rsidRPr="0041048B" w:rsidRDefault="004A5DEB" w:rsidP="0041048B">
      <w:pPr>
        <w:pBdr>
          <w:top w:val="nil"/>
          <w:left w:val="nil"/>
          <w:bottom w:val="nil"/>
          <w:right w:val="nil"/>
          <w:between w:val="nil"/>
        </w:pBdr>
        <w:spacing w:after="0" w:line="240" w:lineRule="auto"/>
        <w:ind w:left="720" w:hanging="720"/>
        <w:rPr>
          <w:rFonts w:ascii="Arial" w:eastAsia="Arial" w:hAnsi="Arial" w:cs="Arial"/>
          <w:color w:val="000000"/>
        </w:rPr>
      </w:pPr>
    </w:p>
    <w:p w14:paraId="7415F3C2" w14:textId="77777777" w:rsidR="0056765F" w:rsidRPr="0041048B" w:rsidRDefault="0056765F" w:rsidP="0041048B">
      <w:pPr>
        <w:pBdr>
          <w:top w:val="nil"/>
          <w:left w:val="nil"/>
          <w:bottom w:val="nil"/>
          <w:right w:val="nil"/>
          <w:between w:val="nil"/>
        </w:pBdr>
        <w:spacing w:line="240" w:lineRule="auto"/>
        <w:rPr>
          <w:rFonts w:ascii="Arial" w:eastAsia="Arial" w:hAnsi="Arial" w:cs="Arial"/>
          <w:color w:val="000000"/>
        </w:rPr>
      </w:pPr>
    </w:p>
    <w:p w14:paraId="093545FA" w14:textId="77777777" w:rsidR="0056765F" w:rsidRPr="0041048B" w:rsidRDefault="0056765F" w:rsidP="0041048B">
      <w:pPr>
        <w:pBdr>
          <w:top w:val="nil"/>
          <w:left w:val="nil"/>
          <w:bottom w:val="nil"/>
          <w:right w:val="nil"/>
          <w:between w:val="nil"/>
        </w:pBdr>
        <w:spacing w:line="240" w:lineRule="auto"/>
        <w:rPr>
          <w:rFonts w:ascii="Arial" w:eastAsia="Arial" w:hAnsi="Arial" w:cs="Arial"/>
          <w:color w:val="000000"/>
        </w:rPr>
      </w:pPr>
    </w:p>
    <w:p w14:paraId="5BCA3BE5" w14:textId="77777777" w:rsidR="0056765F" w:rsidRPr="0041048B" w:rsidRDefault="0056765F" w:rsidP="0041048B">
      <w:pPr>
        <w:pBdr>
          <w:top w:val="nil"/>
          <w:left w:val="nil"/>
          <w:bottom w:val="nil"/>
          <w:right w:val="nil"/>
          <w:between w:val="nil"/>
        </w:pBdr>
        <w:spacing w:line="240" w:lineRule="auto"/>
        <w:rPr>
          <w:rFonts w:ascii="Arial" w:eastAsia="Arial" w:hAnsi="Arial" w:cs="Arial"/>
          <w:color w:val="000000"/>
        </w:rPr>
      </w:pPr>
    </w:p>
    <w:p w14:paraId="7868A33E" w14:textId="77777777" w:rsidR="0056765F" w:rsidRPr="004A5DEB" w:rsidRDefault="0056765F">
      <w:pPr>
        <w:pBdr>
          <w:top w:val="nil"/>
          <w:left w:val="nil"/>
          <w:bottom w:val="nil"/>
          <w:right w:val="nil"/>
          <w:between w:val="nil"/>
        </w:pBdr>
        <w:spacing w:line="240" w:lineRule="auto"/>
        <w:rPr>
          <w:rFonts w:ascii="Arial" w:eastAsia="Arial" w:hAnsi="Arial" w:cs="Arial"/>
          <w:color w:val="000000"/>
        </w:rPr>
      </w:pPr>
    </w:p>
    <w:p w14:paraId="614B86AB" w14:textId="77777777" w:rsidR="0056765F" w:rsidRPr="004A5DEB" w:rsidRDefault="0056765F">
      <w:pPr>
        <w:pBdr>
          <w:top w:val="nil"/>
          <w:left w:val="nil"/>
          <w:bottom w:val="nil"/>
          <w:right w:val="nil"/>
          <w:between w:val="nil"/>
        </w:pBdr>
        <w:spacing w:line="240" w:lineRule="auto"/>
        <w:rPr>
          <w:rFonts w:ascii="Arial" w:eastAsia="Arial" w:hAnsi="Arial" w:cs="Arial"/>
          <w:color w:val="000000"/>
        </w:rPr>
      </w:pPr>
    </w:p>
    <w:p w14:paraId="297A45C9" w14:textId="77777777" w:rsidR="0056765F" w:rsidRPr="004A5DEB" w:rsidRDefault="0056765F">
      <w:pPr>
        <w:pBdr>
          <w:top w:val="nil"/>
          <w:left w:val="nil"/>
          <w:bottom w:val="nil"/>
          <w:right w:val="nil"/>
          <w:between w:val="nil"/>
        </w:pBdr>
        <w:spacing w:line="240" w:lineRule="auto"/>
        <w:rPr>
          <w:rFonts w:ascii="Arial" w:eastAsia="Arial" w:hAnsi="Arial" w:cs="Arial"/>
          <w:color w:val="000000"/>
        </w:rPr>
      </w:pPr>
    </w:p>
    <w:p w14:paraId="52D3E691" w14:textId="77777777" w:rsidR="0056765F" w:rsidRPr="004A5DEB" w:rsidRDefault="0056765F">
      <w:pPr>
        <w:pBdr>
          <w:top w:val="nil"/>
          <w:left w:val="nil"/>
          <w:bottom w:val="nil"/>
          <w:right w:val="nil"/>
          <w:between w:val="nil"/>
        </w:pBdr>
        <w:spacing w:line="240" w:lineRule="auto"/>
        <w:rPr>
          <w:rFonts w:ascii="Arial" w:eastAsia="Arial" w:hAnsi="Arial" w:cs="Arial"/>
          <w:color w:val="000000"/>
        </w:rPr>
      </w:pPr>
    </w:p>
    <w:p w14:paraId="26412B82" w14:textId="77777777" w:rsidR="0056765F" w:rsidRPr="004A5DEB" w:rsidRDefault="0056765F">
      <w:pPr>
        <w:pBdr>
          <w:top w:val="nil"/>
          <w:left w:val="nil"/>
          <w:bottom w:val="nil"/>
          <w:right w:val="nil"/>
          <w:between w:val="nil"/>
        </w:pBdr>
        <w:spacing w:line="240" w:lineRule="auto"/>
        <w:rPr>
          <w:rFonts w:ascii="Arial" w:eastAsia="Arial" w:hAnsi="Arial" w:cs="Arial"/>
          <w:color w:val="000000"/>
        </w:rPr>
      </w:pPr>
    </w:p>
    <w:p w14:paraId="7AF1BD64" w14:textId="77777777" w:rsidR="0056765F" w:rsidRPr="004A5DEB" w:rsidRDefault="0056765F">
      <w:pPr>
        <w:pBdr>
          <w:top w:val="nil"/>
          <w:left w:val="nil"/>
          <w:bottom w:val="nil"/>
          <w:right w:val="nil"/>
          <w:between w:val="nil"/>
        </w:pBdr>
        <w:spacing w:line="240" w:lineRule="auto"/>
        <w:rPr>
          <w:rFonts w:ascii="Arial" w:eastAsia="Arial" w:hAnsi="Arial" w:cs="Arial"/>
          <w:color w:val="000000"/>
        </w:rPr>
      </w:pPr>
    </w:p>
    <w:sectPr w:rsidR="0056765F" w:rsidRPr="004A5DEB">
      <w:pgSz w:w="12240" w:h="15840"/>
      <w:pgMar w:top="194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E67A" w14:textId="77777777" w:rsidR="007A1740" w:rsidRDefault="007A1740">
      <w:pPr>
        <w:spacing w:after="0" w:line="240" w:lineRule="auto"/>
      </w:pPr>
      <w:r>
        <w:separator/>
      </w:r>
    </w:p>
  </w:endnote>
  <w:endnote w:type="continuationSeparator" w:id="0">
    <w:p w14:paraId="02A928C9" w14:textId="77777777" w:rsidR="007A1740" w:rsidRDefault="007A1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F1A1" w14:textId="1B00C032" w:rsidR="0056765F" w:rsidRDefault="00000000">
    <w:pPr>
      <w:pBdr>
        <w:top w:val="nil"/>
        <w:left w:val="nil"/>
        <w:bottom w:val="nil"/>
        <w:right w:val="nil"/>
        <w:between w:val="nil"/>
      </w:pBdr>
      <w:tabs>
        <w:tab w:val="center" w:pos="4680"/>
        <w:tab w:val="right" w:pos="9360"/>
      </w:tabs>
      <w:spacing w:after="0" w:line="240" w:lineRule="auto"/>
      <w:ind w:right="360"/>
      <w:rPr>
        <w:i/>
        <w:color w:val="000000"/>
        <w:sz w:val="18"/>
        <w:szCs w:val="18"/>
      </w:rPr>
    </w:pPr>
    <w:r>
      <w:rPr>
        <w:rFonts w:ascii="Arial" w:eastAsia="Arial" w:hAnsi="Arial" w:cs="Arial"/>
        <w:i/>
        <w:color w:val="000000"/>
        <w:sz w:val="18"/>
        <w:szCs w:val="18"/>
      </w:rPr>
      <w:t>JIL, 202</w:t>
    </w:r>
    <w:r w:rsidR="00AC23BA">
      <w:rPr>
        <w:rFonts w:ascii="Arial" w:eastAsia="Arial" w:hAnsi="Arial" w:cs="Arial"/>
        <w:i/>
        <w:color w:val="000000"/>
        <w:sz w:val="18"/>
        <w:szCs w:val="18"/>
      </w:rPr>
      <w:t>4</w:t>
    </w:r>
    <w:r>
      <w:rPr>
        <w:rFonts w:ascii="Arial" w:eastAsia="Arial" w:hAnsi="Arial" w:cs="Arial"/>
        <w:i/>
        <w:color w:val="000000"/>
        <w:sz w:val="18"/>
        <w:szCs w:val="18"/>
      </w:rPr>
      <w:t xml:space="preserve">, </w:t>
    </w:r>
    <w:r w:rsidR="00AC23BA">
      <w:rPr>
        <w:rFonts w:ascii="Arial" w:eastAsia="Arial" w:hAnsi="Arial" w:cs="Arial"/>
        <w:i/>
        <w:color w:val="000000"/>
        <w:sz w:val="18"/>
        <w:szCs w:val="18"/>
      </w:rPr>
      <w:t>18</w:t>
    </w:r>
    <w:r>
      <w:rPr>
        <w:rFonts w:ascii="Arial" w:eastAsia="Arial" w:hAnsi="Arial" w:cs="Arial"/>
        <w:i/>
        <w:color w:val="000000"/>
        <w:sz w:val="18"/>
        <w:szCs w:val="18"/>
      </w:rPr>
      <w:t>(</w:t>
    </w:r>
    <w:r w:rsidR="00AC23BA">
      <w:rPr>
        <w:rFonts w:ascii="Arial" w:eastAsia="Arial" w:hAnsi="Arial" w:cs="Arial"/>
        <w:i/>
        <w:color w:val="000000"/>
        <w:sz w:val="18"/>
        <w:szCs w:val="18"/>
      </w:rPr>
      <w:t>1</w:t>
    </w:r>
    <w:r>
      <w:rPr>
        <w:rFonts w:ascii="Arial" w:eastAsia="Arial" w:hAnsi="Arial" w:cs="Arial"/>
        <w:i/>
        <w:color w:val="000000"/>
        <w:sz w:val="18"/>
        <w:szCs w:val="18"/>
      </w:rPr>
      <w:t>).</w:t>
    </w:r>
  </w:p>
  <w:p w14:paraId="06B3A348" w14:textId="33C841B5" w:rsidR="0056765F" w:rsidRDefault="00000000">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i/>
        <w:color w:val="000000"/>
        <w:sz w:val="18"/>
        <w:szCs w:val="18"/>
      </w:rPr>
      <w:t>http://dx.doi.org/10.11645/</w:t>
    </w:r>
    <w:r w:rsidR="00AC23BA">
      <w:rPr>
        <w:rFonts w:ascii="Arial" w:eastAsia="Arial" w:hAnsi="Arial" w:cs="Arial"/>
        <w:i/>
        <w:color w:val="000000"/>
        <w:sz w:val="18"/>
        <w:szCs w:val="18"/>
      </w:rPr>
      <w:t>18</w:t>
    </w:r>
    <w:r>
      <w:rPr>
        <w:rFonts w:ascii="Arial" w:eastAsia="Arial" w:hAnsi="Arial" w:cs="Arial"/>
        <w:i/>
        <w:color w:val="000000"/>
        <w:sz w:val="18"/>
        <w:szCs w:val="18"/>
      </w:rPr>
      <w:t>.</w:t>
    </w:r>
    <w:r w:rsidR="00AC23BA">
      <w:rPr>
        <w:rFonts w:ascii="Arial" w:eastAsia="Arial" w:hAnsi="Arial" w:cs="Arial"/>
        <w:i/>
        <w:color w:val="000000"/>
        <w:sz w:val="18"/>
        <w:szCs w:val="18"/>
      </w:rPr>
      <w:t>1</w:t>
    </w:r>
    <w:r>
      <w:rPr>
        <w:rFonts w:ascii="Arial" w:eastAsia="Arial" w:hAnsi="Arial" w:cs="Arial"/>
        <w:i/>
        <w:color w:val="000000"/>
        <w:sz w:val="18"/>
        <w:szCs w:val="18"/>
      </w:rPr>
      <w:t>.</w:t>
    </w:r>
    <w:r w:rsidR="00AC23BA">
      <w:rPr>
        <w:rFonts w:ascii="Arial" w:eastAsia="Arial" w:hAnsi="Arial" w:cs="Arial"/>
        <w:i/>
        <w:color w:val="000000"/>
        <w:sz w:val="18"/>
        <w:szCs w:val="18"/>
      </w:rPr>
      <w:t>598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FA08" w14:textId="77777777" w:rsidR="0056765F" w:rsidRDefault="0056765F">
    <w:pPr>
      <w:rPr>
        <w:rFonts w:ascii="Arial" w:eastAsia="Arial" w:hAnsi="Arial" w:cs="Arial"/>
        <w:sz w:val="20"/>
        <w:szCs w:val="20"/>
      </w:rPr>
    </w:pPr>
  </w:p>
  <w:p w14:paraId="5005CFFC" w14:textId="1C4D8AE0" w:rsidR="0056765F" w:rsidRDefault="00000000" w:rsidP="00CC3D40">
    <w:pPr>
      <w:spacing w:after="0"/>
      <w:rPr>
        <w:rFonts w:ascii="Times New Roman" w:eastAsia="Times New Roman" w:hAnsi="Times New Roman" w:cs="Times New Roman"/>
        <w:sz w:val="28"/>
        <w:szCs w:val="28"/>
      </w:rPr>
    </w:pPr>
    <w:r>
      <w:rPr>
        <w:rFonts w:ascii="Arial" w:eastAsia="Arial" w:hAnsi="Arial" w:cs="Arial"/>
        <w:sz w:val="20"/>
        <w:szCs w:val="20"/>
      </w:rPr>
      <w:t xml:space="preserve">This </w:t>
    </w:r>
    <w:hyperlink r:id="rId1" w:history="1">
      <w:r w:rsidRPr="00CC3D40">
        <w:rPr>
          <w:rStyle w:val="Hyperlink"/>
          <w:rFonts w:ascii="Arial" w:eastAsia="Arial" w:hAnsi="Arial" w:cs="Arial"/>
          <w:sz w:val="20"/>
          <w:szCs w:val="20"/>
        </w:rPr>
        <w:t>Open Access</w:t>
      </w:r>
    </w:hyperlink>
    <w:r>
      <w:rPr>
        <w:rFonts w:ascii="Arial" w:eastAsia="Arial" w:hAnsi="Arial" w:cs="Arial"/>
        <w:sz w:val="20"/>
        <w:szCs w:val="20"/>
      </w:rPr>
      <w:t xml:space="preserve"> work is licensed under a </w:t>
    </w:r>
    <w:hyperlink r:id="rId2">
      <w:r>
        <w:rPr>
          <w:rFonts w:ascii="Arial" w:eastAsia="Arial" w:hAnsi="Arial" w:cs="Arial"/>
          <w:color w:val="0000FF"/>
          <w:sz w:val="20"/>
          <w:szCs w:val="20"/>
          <w:u w:val="single"/>
        </w:rPr>
        <w:t>Creative Commons Attribution-</w:t>
      </w:r>
      <w:proofErr w:type="spellStart"/>
      <w:r>
        <w:rPr>
          <w:rFonts w:ascii="Arial" w:eastAsia="Arial" w:hAnsi="Arial" w:cs="Arial"/>
          <w:color w:val="0000FF"/>
          <w:sz w:val="20"/>
          <w:szCs w:val="20"/>
          <w:u w:val="single"/>
        </w:rPr>
        <w:t>ShareAlike</w:t>
      </w:r>
      <w:proofErr w:type="spellEnd"/>
      <w:r>
        <w:rPr>
          <w:rFonts w:ascii="Arial" w:eastAsia="Arial" w:hAnsi="Arial" w:cs="Arial"/>
          <w:color w:val="0000FF"/>
          <w:sz w:val="20"/>
          <w:szCs w:val="20"/>
          <w:u w:val="single"/>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0A08D08A" w14:textId="77777777" w:rsidR="0056765F" w:rsidRDefault="0056765F">
    <w:pPr>
      <w:keepNext/>
      <w:spacing w:after="0" w:line="240" w:lineRule="auto"/>
      <w:rPr>
        <w:rFonts w:ascii="Arial" w:eastAsia="Arial" w:hAnsi="Arial" w:cs="Arial"/>
        <w:i/>
        <w:sz w:val="18"/>
        <w:szCs w:val="18"/>
      </w:rPr>
    </w:pPr>
  </w:p>
  <w:p w14:paraId="0F34F762" w14:textId="6BF14E5D" w:rsidR="0056765F" w:rsidRDefault="00CC3D40">
    <w:pPr>
      <w:keepNext/>
      <w:spacing w:after="0" w:line="240" w:lineRule="auto"/>
      <w:rPr>
        <w:rFonts w:ascii="Arial" w:eastAsia="Arial" w:hAnsi="Arial" w:cs="Arial"/>
        <w:i/>
        <w:sz w:val="18"/>
        <w:szCs w:val="18"/>
      </w:rPr>
    </w:pPr>
    <w:r>
      <w:rPr>
        <w:rFonts w:ascii="Arial" w:eastAsia="Arial" w:hAnsi="Arial" w:cs="Arial"/>
        <w:i/>
        <w:sz w:val="18"/>
        <w:szCs w:val="18"/>
      </w:rPr>
      <w:t xml:space="preserve">Hicks. 2024. </w:t>
    </w:r>
    <w:r w:rsidRPr="00CC3D40">
      <w:rPr>
        <w:rFonts w:ascii="Arial" w:eastAsia="Arial" w:hAnsi="Arial" w:cs="Arial"/>
        <w:i/>
        <w:sz w:val="18"/>
        <w:szCs w:val="18"/>
      </w:rPr>
      <w:t>The negative spaces of information literacy: An alternative research agenda</w:t>
    </w:r>
    <w:r>
      <w:rPr>
        <w:rFonts w:ascii="Arial" w:eastAsia="Arial" w:hAnsi="Arial" w:cs="Arial"/>
        <w:i/>
        <w:sz w:val="18"/>
        <w:szCs w:val="18"/>
      </w:rPr>
      <w:t xml:space="preserve">. Journal of Information Literacy, </w:t>
    </w:r>
    <w:r w:rsidR="00AC23BA">
      <w:rPr>
        <w:rFonts w:ascii="Arial" w:eastAsia="Arial" w:hAnsi="Arial" w:cs="Arial"/>
        <w:i/>
        <w:sz w:val="18"/>
        <w:szCs w:val="18"/>
      </w:rPr>
      <w:t>18</w:t>
    </w:r>
    <w:r>
      <w:rPr>
        <w:rFonts w:ascii="Arial" w:eastAsia="Arial" w:hAnsi="Arial" w:cs="Arial"/>
        <w:i/>
        <w:sz w:val="18"/>
        <w:szCs w:val="18"/>
      </w:rPr>
      <w:t>(</w:t>
    </w:r>
    <w:r w:rsidR="00AC23BA">
      <w:rPr>
        <w:rFonts w:ascii="Arial" w:eastAsia="Arial" w:hAnsi="Arial" w:cs="Arial"/>
        <w:i/>
        <w:sz w:val="18"/>
        <w:szCs w:val="18"/>
      </w:rPr>
      <w:t>1</w:t>
    </w:r>
    <w:r>
      <w:rPr>
        <w:rFonts w:ascii="Arial" w:eastAsia="Arial" w:hAnsi="Arial" w:cs="Arial"/>
        <w:i/>
        <w:sz w:val="18"/>
        <w:szCs w:val="18"/>
      </w:rPr>
      <w:t xml:space="preserve">), pp. </w:t>
    </w:r>
    <w:r w:rsidR="00392A51">
      <w:rPr>
        <w:rFonts w:ascii="Arial" w:eastAsia="Arial" w:hAnsi="Arial" w:cs="Arial"/>
        <w:i/>
        <w:sz w:val="18"/>
        <w:szCs w:val="18"/>
      </w:rPr>
      <w:t>123</w:t>
    </w:r>
    <w:r>
      <w:rPr>
        <w:rFonts w:ascii="Arial" w:eastAsia="Arial" w:hAnsi="Arial" w:cs="Arial"/>
        <w:i/>
        <w:sz w:val="18"/>
        <w:szCs w:val="18"/>
      </w:rPr>
      <w:t>–</w:t>
    </w:r>
    <w:r w:rsidR="00392A51">
      <w:rPr>
        <w:rFonts w:ascii="Arial" w:eastAsia="Arial" w:hAnsi="Arial" w:cs="Arial"/>
        <w:i/>
        <w:sz w:val="18"/>
        <w:szCs w:val="18"/>
      </w:rPr>
      <w:t>129</w:t>
    </w:r>
    <w:r>
      <w:rPr>
        <w:rFonts w:ascii="Arial" w:eastAsia="Arial" w:hAnsi="Arial" w:cs="Arial"/>
        <w:i/>
        <w:sz w:val="18"/>
        <w:szCs w:val="18"/>
      </w:rPr>
      <w:t>.</w:t>
    </w:r>
  </w:p>
  <w:p w14:paraId="7E031562" w14:textId="41D0B456" w:rsidR="0056765F" w:rsidRDefault="00000000">
    <w:pPr>
      <w:spacing w:after="0" w:line="240" w:lineRule="auto"/>
      <w:rPr>
        <w:rFonts w:ascii="Arial" w:eastAsia="Arial" w:hAnsi="Arial" w:cs="Arial"/>
        <w:i/>
        <w:sz w:val="18"/>
        <w:szCs w:val="18"/>
      </w:rPr>
    </w:pPr>
    <w:r>
      <w:rPr>
        <w:rFonts w:ascii="Arial" w:eastAsia="Arial" w:hAnsi="Arial" w:cs="Arial"/>
        <w:i/>
        <w:sz w:val="18"/>
        <w:szCs w:val="18"/>
      </w:rPr>
      <w:t>http://dx.doi.org/10.11645/</w:t>
    </w:r>
    <w:r w:rsidR="00AC23BA">
      <w:rPr>
        <w:rFonts w:ascii="Arial" w:eastAsia="Arial" w:hAnsi="Arial" w:cs="Arial"/>
        <w:i/>
        <w:sz w:val="18"/>
        <w:szCs w:val="18"/>
      </w:rPr>
      <w:t>18</w:t>
    </w:r>
    <w:r>
      <w:rPr>
        <w:rFonts w:ascii="Arial" w:eastAsia="Arial" w:hAnsi="Arial" w:cs="Arial"/>
        <w:i/>
        <w:sz w:val="18"/>
        <w:szCs w:val="18"/>
      </w:rPr>
      <w:t>.</w:t>
    </w:r>
    <w:r w:rsidR="00AC23BA">
      <w:rPr>
        <w:rFonts w:ascii="Arial" w:eastAsia="Arial" w:hAnsi="Arial" w:cs="Arial"/>
        <w:i/>
        <w:sz w:val="18"/>
        <w:szCs w:val="18"/>
      </w:rPr>
      <w:t>1</w:t>
    </w:r>
    <w:r>
      <w:rPr>
        <w:rFonts w:ascii="Arial" w:eastAsia="Arial" w:hAnsi="Arial" w:cs="Arial"/>
        <w:i/>
        <w:sz w:val="18"/>
        <w:szCs w:val="18"/>
      </w:rPr>
      <w:t>.</w:t>
    </w:r>
    <w:r w:rsidR="00AC23BA">
      <w:rPr>
        <w:rFonts w:ascii="Arial" w:eastAsia="Arial" w:hAnsi="Arial" w:cs="Arial"/>
        <w:i/>
        <w:sz w:val="18"/>
        <w:szCs w:val="18"/>
      </w:rPr>
      <w:t>598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65BD" w14:textId="77777777" w:rsidR="007A1740" w:rsidRDefault="007A1740">
      <w:pPr>
        <w:spacing w:after="0" w:line="240" w:lineRule="auto"/>
      </w:pPr>
      <w:r>
        <w:separator/>
      </w:r>
    </w:p>
  </w:footnote>
  <w:footnote w:type="continuationSeparator" w:id="0">
    <w:p w14:paraId="2C580BE8" w14:textId="77777777" w:rsidR="007A1740" w:rsidRDefault="007A1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4F16" w14:textId="5401AEA6" w:rsidR="0056765F" w:rsidRDefault="00AC23BA">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Pr>
        <w:rFonts w:ascii="Arial" w:eastAsia="Arial" w:hAnsi="Arial" w:cs="Arial"/>
        <w:color w:val="000000"/>
        <w:sz w:val="18"/>
        <w:szCs w:val="18"/>
      </w:rPr>
      <w:t xml:space="preserve">Hicks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0D716D">
      <w:rPr>
        <w:rFonts w:ascii="Arial" w:eastAsia="Arial" w:hAnsi="Arial" w:cs="Arial"/>
        <w:noProof/>
        <w:color w:val="000000"/>
        <w:sz w:val="18"/>
        <w:szCs w:val="18"/>
      </w:rPr>
      <w:t>2</w:t>
    </w:r>
    <w:r>
      <w:rPr>
        <w:rFonts w:ascii="Arial" w:eastAsia="Arial" w:hAnsi="Arial" w:cs="Arial"/>
        <w:color w:val="000000"/>
        <w:sz w:val="18"/>
        <w:szCs w:val="18"/>
      </w:rPr>
      <w:fldChar w:fldCharType="end"/>
    </w:r>
    <w:r>
      <w:rPr>
        <w:noProof/>
      </w:rPr>
      <w:drawing>
        <wp:anchor distT="0" distB="0" distL="114300" distR="114300" simplePos="0" relativeHeight="251658240" behindDoc="0" locked="0" layoutInCell="1" hidden="0" allowOverlap="1" wp14:anchorId="77A9DA35" wp14:editId="4A252627">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1B0B" w14:textId="77777777" w:rsidR="0056765F" w:rsidRDefault="0000000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9264" behindDoc="0" locked="0" layoutInCell="1" hidden="0" allowOverlap="1" wp14:anchorId="0E358C99" wp14:editId="375F88AC">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01D55BE0" w14:textId="431C0B67" w:rsidR="0056765F" w:rsidRDefault="0000000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Volume </w:t>
    </w:r>
    <w:r w:rsidR="00AC23BA">
      <w:rPr>
        <w:rFonts w:ascii="Arial" w:eastAsia="Arial" w:hAnsi="Arial" w:cs="Arial"/>
        <w:color w:val="000000"/>
      </w:rPr>
      <w:t>18</w:t>
    </w:r>
    <w:r>
      <w:rPr>
        <w:rFonts w:ascii="Arial" w:eastAsia="Arial" w:hAnsi="Arial" w:cs="Arial"/>
        <w:color w:val="000000"/>
      </w:rPr>
      <w:t xml:space="preserve"> Issue </w:t>
    </w:r>
    <w:r w:rsidR="00AC23BA">
      <w:rPr>
        <w:rFonts w:ascii="Arial" w:eastAsia="Arial" w:hAnsi="Arial" w:cs="Arial"/>
        <w:color w:val="000000"/>
      </w:rPr>
      <w:t>1</w:t>
    </w:r>
  </w:p>
  <w:p w14:paraId="713262FC" w14:textId="77777777" w:rsidR="0056765F" w:rsidRDefault="0000000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5F"/>
    <w:rsid w:val="0003206F"/>
    <w:rsid w:val="000338BC"/>
    <w:rsid w:val="000D716D"/>
    <w:rsid w:val="00165018"/>
    <w:rsid w:val="001A7058"/>
    <w:rsid w:val="00246E4D"/>
    <w:rsid w:val="002E57DA"/>
    <w:rsid w:val="0034022B"/>
    <w:rsid w:val="00392A51"/>
    <w:rsid w:val="003A2DD9"/>
    <w:rsid w:val="003D350E"/>
    <w:rsid w:val="003F14B8"/>
    <w:rsid w:val="003F335C"/>
    <w:rsid w:val="0041048B"/>
    <w:rsid w:val="00465689"/>
    <w:rsid w:val="004A5DEB"/>
    <w:rsid w:val="004C4D0B"/>
    <w:rsid w:val="004D219F"/>
    <w:rsid w:val="004F3C42"/>
    <w:rsid w:val="005214C1"/>
    <w:rsid w:val="00526502"/>
    <w:rsid w:val="00556D82"/>
    <w:rsid w:val="00561A27"/>
    <w:rsid w:val="0056765F"/>
    <w:rsid w:val="00664988"/>
    <w:rsid w:val="0066593C"/>
    <w:rsid w:val="007540DB"/>
    <w:rsid w:val="007A1740"/>
    <w:rsid w:val="007D2F9B"/>
    <w:rsid w:val="007D74A2"/>
    <w:rsid w:val="00874D15"/>
    <w:rsid w:val="0089122D"/>
    <w:rsid w:val="008F651B"/>
    <w:rsid w:val="00A46A08"/>
    <w:rsid w:val="00A7673A"/>
    <w:rsid w:val="00A923E4"/>
    <w:rsid w:val="00AC23BA"/>
    <w:rsid w:val="00AD284C"/>
    <w:rsid w:val="00B67584"/>
    <w:rsid w:val="00C41565"/>
    <w:rsid w:val="00C9121E"/>
    <w:rsid w:val="00C96BF9"/>
    <w:rsid w:val="00CC3D40"/>
    <w:rsid w:val="00D31331"/>
    <w:rsid w:val="00D447BB"/>
    <w:rsid w:val="00D8125F"/>
    <w:rsid w:val="00E21623"/>
    <w:rsid w:val="00EB545C"/>
    <w:rsid w:val="00ED1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4EDB5"/>
  <w15:docId w15:val="{D028198A-8ED8-594E-9215-0D4CD459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D7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16D"/>
  </w:style>
  <w:style w:type="paragraph" w:styleId="Footer">
    <w:name w:val="footer"/>
    <w:basedOn w:val="Normal"/>
    <w:link w:val="FooterChar"/>
    <w:uiPriority w:val="99"/>
    <w:unhideWhenUsed/>
    <w:rsid w:val="000D7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16D"/>
  </w:style>
  <w:style w:type="character" w:styleId="Hyperlink">
    <w:name w:val="Hyperlink"/>
    <w:basedOn w:val="DefaultParagraphFont"/>
    <w:uiPriority w:val="99"/>
    <w:unhideWhenUsed/>
    <w:rsid w:val="00AC23BA"/>
    <w:rPr>
      <w:color w:val="0000FF" w:themeColor="hyperlink"/>
      <w:u w:val="single"/>
    </w:rPr>
  </w:style>
  <w:style w:type="character" w:styleId="UnresolvedMention">
    <w:name w:val="Unresolved Mention"/>
    <w:basedOn w:val="DefaultParagraphFont"/>
    <w:uiPriority w:val="99"/>
    <w:semiHidden/>
    <w:unhideWhenUsed/>
    <w:rsid w:val="00AC23BA"/>
    <w:rPr>
      <w:color w:val="605E5C"/>
      <w:shd w:val="clear" w:color="auto" w:fill="E1DFDD"/>
    </w:rPr>
  </w:style>
  <w:style w:type="paragraph" w:styleId="Revision">
    <w:name w:val="Revision"/>
    <w:hidden/>
    <w:uiPriority w:val="99"/>
    <w:semiHidden/>
    <w:rsid w:val="00246E4D"/>
    <w:pPr>
      <w:spacing w:after="0" w:line="240" w:lineRule="auto"/>
    </w:pPr>
  </w:style>
  <w:style w:type="character" w:styleId="CommentReference">
    <w:name w:val="annotation reference"/>
    <w:basedOn w:val="DefaultParagraphFont"/>
    <w:uiPriority w:val="99"/>
    <w:semiHidden/>
    <w:unhideWhenUsed/>
    <w:rsid w:val="00246E4D"/>
    <w:rPr>
      <w:sz w:val="16"/>
      <w:szCs w:val="16"/>
    </w:rPr>
  </w:style>
  <w:style w:type="paragraph" w:styleId="CommentText">
    <w:name w:val="annotation text"/>
    <w:basedOn w:val="Normal"/>
    <w:link w:val="CommentTextChar"/>
    <w:uiPriority w:val="99"/>
    <w:semiHidden/>
    <w:unhideWhenUsed/>
    <w:rsid w:val="00246E4D"/>
    <w:pPr>
      <w:spacing w:line="240" w:lineRule="auto"/>
    </w:pPr>
    <w:rPr>
      <w:sz w:val="20"/>
      <w:szCs w:val="20"/>
    </w:rPr>
  </w:style>
  <w:style w:type="character" w:customStyle="1" w:styleId="CommentTextChar">
    <w:name w:val="Comment Text Char"/>
    <w:basedOn w:val="DefaultParagraphFont"/>
    <w:link w:val="CommentText"/>
    <w:uiPriority w:val="99"/>
    <w:semiHidden/>
    <w:rsid w:val="00246E4D"/>
    <w:rPr>
      <w:sz w:val="20"/>
      <w:szCs w:val="20"/>
    </w:rPr>
  </w:style>
  <w:style w:type="paragraph" w:styleId="CommentSubject">
    <w:name w:val="annotation subject"/>
    <w:basedOn w:val="CommentText"/>
    <w:next w:val="CommentText"/>
    <w:link w:val="CommentSubjectChar"/>
    <w:uiPriority w:val="99"/>
    <w:semiHidden/>
    <w:unhideWhenUsed/>
    <w:rsid w:val="00246E4D"/>
    <w:rPr>
      <w:b/>
      <w:bCs/>
    </w:rPr>
  </w:style>
  <w:style w:type="character" w:customStyle="1" w:styleId="CommentSubjectChar">
    <w:name w:val="Comment Subject Char"/>
    <w:basedOn w:val="CommentTextChar"/>
    <w:link w:val="CommentSubject"/>
    <w:uiPriority w:val="99"/>
    <w:semiHidden/>
    <w:rsid w:val="00246E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355911">
      <w:bodyDiv w:val="1"/>
      <w:marLeft w:val="0"/>
      <w:marRight w:val="0"/>
      <w:marTop w:val="0"/>
      <w:marBottom w:val="0"/>
      <w:divBdr>
        <w:top w:val="none" w:sz="0" w:space="0" w:color="auto"/>
        <w:left w:val="none" w:sz="0" w:space="0" w:color="auto"/>
        <w:bottom w:val="none" w:sz="0" w:space="0" w:color="auto"/>
        <w:right w:val="none" w:sz="0" w:space="0" w:color="auto"/>
      </w:divBdr>
      <w:divsChild>
        <w:div w:id="1348941694">
          <w:marLeft w:val="0"/>
          <w:marRight w:val="0"/>
          <w:marTop w:val="0"/>
          <w:marBottom w:val="0"/>
          <w:divBdr>
            <w:top w:val="none" w:sz="0" w:space="0" w:color="auto"/>
            <w:left w:val="none" w:sz="0" w:space="0" w:color="auto"/>
            <w:bottom w:val="none" w:sz="0" w:space="0" w:color="auto"/>
            <w:right w:val="none" w:sz="0" w:space="0" w:color="auto"/>
          </w:divBdr>
          <w:divsChild>
            <w:div w:id="1299149360">
              <w:marLeft w:val="0"/>
              <w:marRight w:val="0"/>
              <w:marTop w:val="0"/>
              <w:marBottom w:val="0"/>
              <w:divBdr>
                <w:top w:val="none" w:sz="0" w:space="0" w:color="auto"/>
                <w:left w:val="none" w:sz="0" w:space="0" w:color="auto"/>
                <w:bottom w:val="none" w:sz="0" w:space="0" w:color="auto"/>
                <w:right w:val="none" w:sz="0" w:space="0" w:color="auto"/>
              </w:divBdr>
              <w:divsChild>
                <w:div w:id="613097596">
                  <w:marLeft w:val="0"/>
                  <w:marRight w:val="0"/>
                  <w:marTop w:val="0"/>
                  <w:marBottom w:val="0"/>
                  <w:divBdr>
                    <w:top w:val="none" w:sz="0" w:space="0" w:color="auto"/>
                    <w:left w:val="none" w:sz="0" w:space="0" w:color="auto"/>
                    <w:bottom w:val="none" w:sz="0" w:space="0" w:color="auto"/>
                    <w:right w:val="none" w:sz="0" w:space="0" w:color="auto"/>
                  </w:divBdr>
                  <w:divsChild>
                    <w:div w:id="2110614620">
                      <w:marLeft w:val="0"/>
                      <w:marRight w:val="0"/>
                      <w:marTop w:val="0"/>
                      <w:marBottom w:val="0"/>
                      <w:divBdr>
                        <w:top w:val="none" w:sz="0" w:space="0" w:color="auto"/>
                        <w:left w:val="none" w:sz="0" w:space="0" w:color="auto"/>
                        <w:bottom w:val="none" w:sz="0" w:space="0" w:color="auto"/>
                        <w:right w:val="none" w:sz="0" w:space="0" w:color="auto"/>
                      </w:divBdr>
                      <w:divsChild>
                        <w:div w:id="888884873">
                          <w:marLeft w:val="0"/>
                          <w:marRight w:val="0"/>
                          <w:marTop w:val="0"/>
                          <w:marBottom w:val="0"/>
                          <w:divBdr>
                            <w:top w:val="none" w:sz="0" w:space="0" w:color="auto"/>
                            <w:left w:val="none" w:sz="0" w:space="0" w:color="auto"/>
                            <w:bottom w:val="none" w:sz="0" w:space="0" w:color="auto"/>
                            <w:right w:val="none" w:sz="0" w:space="0" w:color="auto"/>
                          </w:divBdr>
                          <w:divsChild>
                            <w:div w:id="5133029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072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3672">
          <w:marLeft w:val="0"/>
          <w:marRight w:val="0"/>
          <w:marTop w:val="9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124-1730" TargetMode="External"/><Relationship Id="rId13" Type="http://schemas.openxmlformats.org/officeDocument/2006/relationships/hyperlink" Target="https://en.wikipedia.org/wiki/Negative_space" TargetMode="External"/><Relationship Id="rId18" Type="http://schemas.openxmlformats.org/officeDocument/2006/relationships/hyperlink" Target="https://doi.org/10.29085/9781783305919.002" TargetMode="External"/><Relationship Id="rId26" Type="http://schemas.openxmlformats.org/officeDocument/2006/relationships/hyperlink" Target="https://files.eric.ed.gov/fulltext/ED100391.pdf" TargetMode="External"/><Relationship Id="rId3" Type="http://schemas.openxmlformats.org/officeDocument/2006/relationships/webSettings" Target="webSettings.xml"/><Relationship Id="rId21" Type="http://schemas.openxmlformats.org/officeDocument/2006/relationships/hyperlink" Target="https://doi.org/10.29085/9781783305919" TargetMode="External"/><Relationship Id="rId7" Type="http://schemas.openxmlformats.org/officeDocument/2006/relationships/hyperlink" Target="mailto:a.hicks@ucl.ac.uk" TargetMode="External"/><Relationship Id="rId12" Type="http://schemas.openxmlformats.org/officeDocument/2006/relationships/footer" Target="footer2.xml"/><Relationship Id="rId17" Type="http://schemas.openxmlformats.org/officeDocument/2006/relationships/hyperlink" Target="https://doi.org/10.1108/JD-12-2019-0234" TargetMode="External"/><Relationship Id="rId25" Type="http://schemas.openxmlformats.org/officeDocument/2006/relationships/hyperlink" Target="https://doi.org/10.1525/9780520355019-011" TargetMode="External"/><Relationship Id="rId2" Type="http://schemas.openxmlformats.org/officeDocument/2006/relationships/settings" Target="settings.xml"/><Relationship Id="rId16" Type="http://schemas.openxmlformats.org/officeDocument/2006/relationships/hyperlink" Target="https://doi.org/10.1370/afm.914" TargetMode="External"/><Relationship Id="rId20" Type="http://schemas.openxmlformats.org/officeDocument/2006/relationships/hyperlink" Target="https://doi.org/10.11645/17.1.3277" TargetMode="External"/><Relationship Id="rId1" Type="http://schemas.openxmlformats.org/officeDocument/2006/relationships/styles" Target="styles.xml"/><Relationship Id="rId6" Type="http://schemas.openxmlformats.org/officeDocument/2006/relationships/hyperlink" Target="http://dx.doi.org/10.11645/18.1.598" TargetMode="External"/><Relationship Id="rId11" Type="http://schemas.openxmlformats.org/officeDocument/2006/relationships/header" Target="header2.xml"/><Relationship Id="rId24" Type="http://schemas.openxmlformats.org/officeDocument/2006/relationships/hyperlink" Target="https://doi.org/10.15760/comminfolit.2015.9.1.174" TargetMode="External"/><Relationship Id="rId5" Type="http://schemas.openxmlformats.org/officeDocument/2006/relationships/endnotes" Target="endnotes.xml"/><Relationship Id="rId15" Type="http://schemas.openxmlformats.org/officeDocument/2006/relationships/hyperlink" Target="https://doi.org/10.58680/ce20042847" TargetMode="External"/><Relationship Id="rId23" Type="http://schemas.openxmlformats.org/officeDocument/2006/relationships/hyperlink" Target="https://doi.org/10.1177/10901981740020S102"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4324/9781003163237" TargetMode="Externa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www.danah.org/papers/talks/2018/SXSW-EDU.html" TargetMode="External"/><Relationship Id="rId22" Type="http://schemas.openxmlformats.org/officeDocument/2006/relationships/hyperlink" Target="https://doi.org/10.33137/cjal-rcbu.v1.24308"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3206</Words>
  <Characters>18278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Harriet David</cp:lastModifiedBy>
  <cp:revision>13</cp:revision>
  <dcterms:created xsi:type="dcterms:W3CDTF">2024-05-12T17:29:00Z</dcterms:created>
  <dcterms:modified xsi:type="dcterms:W3CDTF">2024-06-02T15:26:00Z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