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555E" w14:textId="77777777" w:rsidR="000B5540" w:rsidRDefault="00E30E2D">
      <w:pPr>
        <w:keepNext/>
        <w:spacing w:after="200" w:line="240" w:lineRule="auto"/>
        <w:rPr>
          <w:b/>
          <w:sz w:val="36"/>
          <w:szCs w:val="36"/>
        </w:rPr>
      </w:pPr>
      <w:r>
        <w:rPr>
          <w:b/>
          <w:sz w:val="36"/>
          <w:szCs w:val="36"/>
        </w:rPr>
        <w:t>Journal of Information Literacy</w:t>
      </w:r>
    </w:p>
    <w:p w14:paraId="00C0BD23" w14:textId="77777777" w:rsidR="000B5540" w:rsidRDefault="00E30E2D">
      <w:pPr>
        <w:keepNext/>
        <w:spacing w:after="200" w:line="240" w:lineRule="auto"/>
        <w:rPr>
          <w:b/>
          <w:sz w:val="28"/>
          <w:szCs w:val="28"/>
        </w:rPr>
      </w:pPr>
      <w:r>
        <w:rPr>
          <w:b/>
          <w:sz w:val="28"/>
          <w:szCs w:val="28"/>
        </w:rPr>
        <w:t>ISSN 1750-5968</w:t>
      </w:r>
    </w:p>
    <w:p w14:paraId="7D248DDA" w14:textId="77777777" w:rsidR="000B5540" w:rsidRDefault="000B5540">
      <w:pPr>
        <w:spacing w:line="240" w:lineRule="auto"/>
        <w:rPr>
          <w:sz w:val="24"/>
          <w:szCs w:val="24"/>
        </w:rPr>
      </w:pPr>
    </w:p>
    <w:p w14:paraId="7E62CF7E" w14:textId="13D31DE1" w:rsidR="000B5540" w:rsidRDefault="00E30E2D">
      <w:pPr>
        <w:keepNext/>
        <w:spacing w:before="80" w:after="120" w:line="240" w:lineRule="auto"/>
        <w:rPr>
          <w:b/>
          <w:sz w:val="24"/>
          <w:szCs w:val="24"/>
        </w:rPr>
      </w:pPr>
      <w:r>
        <w:rPr>
          <w:b/>
          <w:sz w:val="24"/>
          <w:szCs w:val="24"/>
        </w:rPr>
        <w:t xml:space="preserve">Volume </w:t>
      </w:r>
      <w:r w:rsidR="00CB09E1">
        <w:rPr>
          <w:b/>
          <w:sz w:val="24"/>
          <w:szCs w:val="24"/>
        </w:rPr>
        <w:t>1</w:t>
      </w:r>
      <w:r w:rsidR="002C1148">
        <w:rPr>
          <w:b/>
          <w:sz w:val="24"/>
          <w:szCs w:val="24"/>
        </w:rPr>
        <w:t>7</w:t>
      </w:r>
      <w:r>
        <w:rPr>
          <w:b/>
          <w:sz w:val="24"/>
          <w:szCs w:val="24"/>
        </w:rPr>
        <w:t xml:space="preserve"> Issue </w:t>
      </w:r>
      <w:r w:rsidR="002C1148">
        <w:rPr>
          <w:b/>
          <w:sz w:val="24"/>
          <w:szCs w:val="24"/>
        </w:rPr>
        <w:t>1</w:t>
      </w:r>
    </w:p>
    <w:p w14:paraId="2FBEFE59" w14:textId="21767DF9" w:rsidR="000B5540" w:rsidRDefault="00B10F65">
      <w:pPr>
        <w:keepNext/>
        <w:spacing w:before="80" w:after="120" w:line="240" w:lineRule="auto"/>
        <w:rPr>
          <w:b/>
          <w:sz w:val="24"/>
          <w:szCs w:val="24"/>
        </w:rPr>
      </w:pPr>
      <w:r>
        <w:rPr>
          <w:b/>
          <w:sz w:val="24"/>
          <w:szCs w:val="24"/>
        </w:rPr>
        <w:t>June</w:t>
      </w:r>
      <w:r w:rsidR="00E30E2D">
        <w:rPr>
          <w:b/>
          <w:sz w:val="24"/>
          <w:szCs w:val="24"/>
        </w:rPr>
        <w:t xml:space="preserve"> </w:t>
      </w:r>
      <w:r w:rsidR="00CB09E1">
        <w:rPr>
          <w:b/>
          <w:sz w:val="24"/>
          <w:szCs w:val="24"/>
        </w:rPr>
        <w:t>2023</w:t>
      </w:r>
    </w:p>
    <w:p w14:paraId="4D30739F" w14:textId="77777777" w:rsidR="000B5540" w:rsidRDefault="000B5540">
      <w:pPr>
        <w:spacing w:line="240" w:lineRule="auto"/>
        <w:rPr>
          <w:sz w:val="24"/>
          <w:szCs w:val="24"/>
        </w:rPr>
      </w:pPr>
    </w:p>
    <w:p w14:paraId="56D08C0D" w14:textId="77777777" w:rsidR="000B5540" w:rsidRDefault="000B5540">
      <w:pPr>
        <w:spacing w:line="240" w:lineRule="auto"/>
        <w:rPr>
          <w:sz w:val="24"/>
          <w:szCs w:val="24"/>
        </w:rPr>
      </w:pPr>
    </w:p>
    <w:p w14:paraId="1999C124" w14:textId="77777777" w:rsidR="000B5540" w:rsidRDefault="000B5540">
      <w:pPr>
        <w:spacing w:line="240" w:lineRule="auto"/>
        <w:rPr>
          <w:sz w:val="24"/>
          <w:szCs w:val="24"/>
        </w:rPr>
      </w:pPr>
    </w:p>
    <w:p w14:paraId="3A934391" w14:textId="77777777" w:rsidR="000B5540" w:rsidRDefault="000B5540">
      <w:pPr>
        <w:spacing w:line="240" w:lineRule="auto"/>
        <w:rPr>
          <w:sz w:val="24"/>
          <w:szCs w:val="24"/>
        </w:rPr>
      </w:pPr>
    </w:p>
    <w:p w14:paraId="3E93E213" w14:textId="0062380A" w:rsidR="000B5540" w:rsidRDefault="00E30E2D">
      <w:pPr>
        <w:keepNext/>
        <w:spacing w:after="200" w:line="240" w:lineRule="auto"/>
        <w:rPr>
          <w:b/>
          <w:sz w:val="28"/>
          <w:szCs w:val="28"/>
        </w:rPr>
      </w:pPr>
      <w:r>
        <w:rPr>
          <w:b/>
          <w:sz w:val="28"/>
          <w:szCs w:val="28"/>
        </w:rPr>
        <w:t>Article</w:t>
      </w:r>
    </w:p>
    <w:p w14:paraId="4A54C8EB" w14:textId="6C762D2E" w:rsidR="000B5540" w:rsidRPr="00CB09E1" w:rsidRDefault="00CB09E1">
      <w:pPr>
        <w:keepNext/>
        <w:spacing w:before="80" w:after="120" w:line="240" w:lineRule="auto"/>
        <w:rPr>
          <w:b/>
          <w:bCs/>
          <w:sz w:val="24"/>
          <w:szCs w:val="24"/>
          <w:lang w:val="en-US"/>
        </w:rPr>
      </w:pPr>
      <w:r>
        <w:rPr>
          <w:b/>
          <w:sz w:val="24"/>
          <w:szCs w:val="24"/>
        </w:rPr>
        <w:t>Olson, D., Bates, S.</w:t>
      </w:r>
      <w:r w:rsidR="00A108FA">
        <w:rPr>
          <w:b/>
          <w:sz w:val="24"/>
          <w:szCs w:val="24"/>
        </w:rPr>
        <w:t xml:space="preserve"> L.</w:t>
      </w:r>
      <w:r>
        <w:rPr>
          <w:b/>
          <w:sz w:val="24"/>
          <w:szCs w:val="24"/>
        </w:rPr>
        <w:t>, Yarbrough, S., Westall, S., Denis, M.</w:t>
      </w:r>
      <w:r w:rsidR="007E16E2">
        <w:rPr>
          <w:b/>
          <w:sz w:val="24"/>
          <w:szCs w:val="24"/>
        </w:rPr>
        <w:t xml:space="preserve"> C. K.</w:t>
      </w:r>
      <w:r>
        <w:rPr>
          <w:b/>
          <w:sz w:val="24"/>
          <w:szCs w:val="24"/>
        </w:rPr>
        <w:t xml:space="preserve">, &amp; Barnett, M. 2023. </w:t>
      </w:r>
      <w:r w:rsidRPr="00CB09E1">
        <w:rPr>
          <w:b/>
          <w:bCs/>
          <w:sz w:val="24"/>
          <w:szCs w:val="24"/>
          <w:lang w:val="en-US"/>
        </w:rPr>
        <w:t xml:space="preserve">Information </w:t>
      </w:r>
      <w:r w:rsidR="008B0B02">
        <w:rPr>
          <w:b/>
          <w:bCs/>
          <w:sz w:val="24"/>
          <w:szCs w:val="24"/>
          <w:lang w:val="en-US"/>
        </w:rPr>
        <w:t>l</w:t>
      </w:r>
      <w:r w:rsidRPr="00CB09E1">
        <w:rPr>
          <w:b/>
          <w:bCs/>
          <w:sz w:val="24"/>
          <w:szCs w:val="24"/>
          <w:lang w:val="en-US"/>
        </w:rPr>
        <w:t xml:space="preserve">iteracy </w:t>
      </w:r>
      <w:r>
        <w:rPr>
          <w:b/>
          <w:bCs/>
          <w:sz w:val="24"/>
          <w:szCs w:val="24"/>
          <w:lang w:val="en-US"/>
        </w:rPr>
        <w:t>c</w:t>
      </w:r>
      <w:r w:rsidRPr="00CB09E1">
        <w:rPr>
          <w:b/>
          <w:bCs/>
          <w:sz w:val="24"/>
          <w:szCs w:val="24"/>
          <w:lang w:val="en-US"/>
        </w:rPr>
        <w:t xml:space="preserve">urriculum </w:t>
      </w:r>
      <w:r>
        <w:rPr>
          <w:b/>
          <w:bCs/>
          <w:sz w:val="24"/>
          <w:szCs w:val="24"/>
          <w:lang w:val="en-US"/>
        </w:rPr>
        <w:t>m</w:t>
      </w:r>
      <w:r w:rsidRPr="00CB09E1">
        <w:rPr>
          <w:b/>
          <w:bCs/>
          <w:sz w:val="24"/>
          <w:szCs w:val="24"/>
          <w:lang w:val="en-US"/>
        </w:rPr>
        <w:t xml:space="preserve">apping in the </w:t>
      </w:r>
      <w:r>
        <w:rPr>
          <w:b/>
          <w:bCs/>
          <w:sz w:val="24"/>
          <w:szCs w:val="24"/>
          <w:lang w:val="en-US"/>
        </w:rPr>
        <w:t>h</w:t>
      </w:r>
      <w:r w:rsidRPr="00CB09E1">
        <w:rPr>
          <w:b/>
          <w:bCs/>
          <w:sz w:val="24"/>
          <w:szCs w:val="24"/>
          <w:lang w:val="en-US"/>
        </w:rPr>
        <w:t xml:space="preserve">ealth </w:t>
      </w:r>
      <w:r>
        <w:rPr>
          <w:b/>
          <w:bCs/>
          <w:sz w:val="24"/>
          <w:szCs w:val="24"/>
          <w:lang w:val="en-US"/>
        </w:rPr>
        <w:t>s</w:t>
      </w:r>
      <w:r w:rsidRPr="00CB09E1">
        <w:rPr>
          <w:b/>
          <w:bCs/>
          <w:sz w:val="24"/>
          <w:szCs w:val="24"/>
          <w:lang w:val="en-US"/>
        </w:rPr>
        <w:t xml:space="preserve">ciences: A scoping </w:t>
      </w:r>
      <w:r>
        <w:rPr>
          <w:b/>
          <w:bCs/>
          <w:sz w:val="24"/>
          <w:szCs w:val="24"/>
          <w:lang w:val="en-US"/>
        </w:rPr>
        <w:t>r</w:t>
      </w:r>
      <w:r w:rsidRPr="00CB09E1">
        <w:rPr>
          <w:b/>
          <w:bCs/>
          <w:sz w:val="24"/>
          <w:szCs w:val="24"/>
          <w:lang w:val="en-US"/>
        </w:rPr>
        <w:t>eview</w:t>
      </w:r>
      <w:r>
        <w:rPr>
          <w:b/>
          <w:sz w:val="24"/>
          <w:szCs w:val="24"/>
        </w:rPr>
        <w:t xml:space="preserve">. </w:t>
      </w:r>
      <w:r>
        <w:rPr>
          <w:b/>
          <w:i/>
          <w:sz w:val="24"/>
          <w:szCs w:val="24"/>
        </w:rPr>
        <w:t>Journal of Information Literacy</w:t>
      </w:r>
      <w:r w:rsidRPr="00CB09E1">
        <w:rPr>
          <w:b/>
          <w:i/>
          <w:iCs/>
          <w:sz w:val="24"/>
          <w:szCs w:val="24"/>
        </w:rPr>
        <w:t>, 1</w:t>
      </w:r>
      <w:r w:rsidR="002C1148">
        <w:rPr>
          <w:b/>
          <w:i/>
          <w:iCs/>
          <w:sz w:val="24"/>
          <w:szCs w:val="24"/>
        </w:rPr>
        <w:t>7</w:t>
      </w:r>
      <w:r>
        <w:rPr>
          <w:b/>
          <w:sz w:val="24"/>
          <w:szCs w:val="24"/>
        </w:rPr>
        <w:t>(</w:t>
      </w:r>
      <w:r w:rsidR="002C1148">
        <w:rPr>
          <w:b/>
          <w:sz w:val="24"/>
          <w:szCs w:val="24"/>
        </w:rPr>
        <w:t>1</w:t>
      </w:r>
      <w:r>
        <w:rPr>
          <w:b/>
          <w:sz w:val="24"/>
          <w:szCs w:val="24"/>
        </w:rPr>
        <w:t xml:space="preserve">), pp. </w:t>
      </w:r>
      <w:r w:rsidR="002C1148">
        <w:rPr>
          <w:b/>
          <w:sz w:val="24"/>
          <w:szCs w:val="24"/>
        </w:rPr>
        <w:t>6</w:t>
      </w:r>
      <w:r w:rsidR="00AE0CC0">
        <w:rPr>
          <w:b/>
          <w:sz w:val="24"/>
          <w:szCs w:val="24"/>
        </w:rPr>
        <w:t>5</w:t>
      </w:r>
      <w:r w:rsidR="00E41EB5">
        <w:rPr>
          <w:b/>
          <w:sz w:val="24"/>
          <w:szCs w:val="24"/>
        </w:rPr>
        <w:softHyphen/>
        <w:t>–</w:t>
      </w:r>
      <w:r w:rsidR="00E2031B">
        <w:rPr>
          <w:b/>
          <w:sz w:val="24"/>
          <w:szCs w:val="24"/>
        </w:rPr>
        <w:t>8</w:t>
      </w:r>
      <w:r w:rsidR="00B10F65">
        <w:rPr>
          <w:b/>
          <w:sz w:val="24"/>
          <w:szCs w:val="24"/>
        </w:rPr>
        <w:t>8</w:t>
      </w:r>
      <w:r>
        <w:rPr>
          <w:b/>
          <w:sz w:val="24"/>
          <w:szCs w:val="24"/>
        </w:rPr>
        <w:t>.</w:t>
      </w:r>
    </w:p>
    <w:p w14:paraId="31ACCD4B" w14:textId="5EC6363A" w:rsidR="000B5540" w:rsidRDefault="00941BEE">
      <w:pPr>
        <w:spacing w:before="120" w:after="80" w:line="240" w:lineRule="auto"/>
        <w:rPr>
          <w:b/>
          <w:i/>
          <w:sz w:val="24"/>
          <w:szCs w:val="24"/>
        </w:rPr>
      </w:pPr>
      <w:hyperlink r:id="rId8" w:history="1">
        <w:r w:rsidR="00F95B51" w:rsidRPr="008060CB">
          <w:rPr>
            <w:rStyle w:val="Hyperlink"/>
            <w:b/>
            <w:i/>
            <w:sz w:val="24"/>
            <w:szCs w:val="24"/>
          </w:rPr>
          <w:t>http://dx.doi.org/10.11645/17.1.3319</w:t>
        </w:r>
      </w:hyperlink>
      <w:r w:rsidR="00F95B51">
        <w:rPr>
          <w:b/>
          <w:i/>
          <w:sz w:val="24"/>
          <w:szCs w:val="24"/>
        </w:rPr>
        <w:t xml:space="preserve"> </w:t>
      </w:r>
    </w:p>
    <w:p w14:paraId="4D4C7BA1" w14:textId="77777777" w:rsidR="000B5540" w:rsidRDefault="000B5540">
      <w:pPr>
        <w:spacing w:before="120" w:after="80" w:line="240" w:lineRule="auto"/>
        <w:rPr>
          <w:b/>
          <w:i/>
          <w:sz w:val="24"/>
          <w:szCs w:val="24"/>
        </w:rPr>
      </w:pPr>
    </w:p>
    <w:p w14:paraId="0A2FB0F9" w14:textId="77777777" w:rsidR="000B5540" w:rsidRDefault="000B5540">
      <w:pPr>
        <w:spacing w:before="120" w:after="80" w:line="240" w:lineRule="auto"/>
        <w:rPr>
          <w:sz w:val="24"/>
          <w:szCs w:val="24"/>
        </w:rPr>
      </w:pPr>
    </w:p>
    <w:p w14:paraId="62A4FFFF" w14:textId="77777777" w:rsidR="000B5540" w:rsidRDefault="000B5540">
      <w:pPr>
        <w:spacing w:line="240" w:lineRule="auto"/>
        <w:rPr>
          <w:sz w:val="24"/>
          <w:szCs w:val="24"/>
        </w:rPr>
      </w:pPr>
    </w:p>
    <w:p w14:paraId="6EFDB4AC" w14:textId="77777777" w:rsidR="000B5540" w:rsidRDefault="000B5540">
      <w:pPr>
        <w:spacing w:line="240" w:lineRule="auto"/>
        <w:rPr>
          <w:sz w:val="24"/>
          <w:szCs w:val="24"/>
        </w:rPr>
      </w:pPr>
    </w:p>
    <w:p w14:paraId="16091EED" w14:textId="77777777" w:rsidR="000B5540" w:rsidRDefault="000B5540">
      <w:pPr>
        <w:spacing w:line="240" w:lineRule="auto"/>
        <w:rPr>
          <w:sz w:val="24"/>
          <w:szCs w:val="24"/>
        </w:rPr>
      </w:pPr>
    </w:p>
    <w:p w14:paraId="76F4280F" w14:textId="77777777" w:rsidR="000B5540" w:rsidRDefault="000B5540">
      <w:pPr>
        <w:spacing w:line="240" w:lineRule="auto"/>
        <w:rPr>
          <w:sz w:val="24"/>
          <w:szCs w:val="24"/>
        </w:rPr>
      </w:pPr>
    </w:p>
    <w:p w14:paraId="0FB1CFF9" w14:textId="77777777" w:rsidR="000B5540" w:rsidRDefault="000B5540">
      <w:pPr>
        <w:spacing w:line="240" w:lineRule="auto"/>
        <w:rPr>
          <w:sz w:val="24"/>
          <w:szCs w:val="24"/>
        </w:rPr>
      </w:pPr>
    </w:p>
    <w:p w14:paraId="71F74399" w14:textId="77777777" w:rsidR="000B5540" w:rsidRDefault="000B5540">
      <w:pPr>
        <w:spacing w:line="240" w:lineRule="auto"/>
        <w:rPr>
          <w:sz w:val="24"/>
          <w:szCs w:val="24"/>
        </w:rPr>
      </w:pPr>
    </w:p>
    <w:p w14:paraId="35E93427" w14:textId="77777777" w:rsidR="000B5540" w:rsidRDefault="000B5540">
      <w:pPr>
        <w:spacing w:line="240" w:lineRule="auto"/>
        <w:rPr>
          <w:sz w:val="24"/>
          <w:szCs w:val="24"/>
        </w:rPr>
      </w:pPr>
    </w:p>
    <w:p w14:paraId="4E82817A" w14:textId="77777777" w:rsidR="000B5540" w:rsidRDefault="000B5540">
      <w:pPr>
        <w:spacing w:line="240" w:lineRule="auto"/>
        <w:rPr>
          <w:sz w:val="24"/>
          <w:szCs w:val="24"/>
        </w:rPr>
      </w:pPr>
    </w:p>
    <w:p w14:paraId="7FADFFD5" w14:textId="77777777" w:rsidR="000B5540" w:rsidRDefault="000B5540">
      <w:pPr>
        <w:spacing w:line="240" w:lineRule="auto"/>
        <w:rPr>
          <w:sz w:val="24"/>
          <w:szCs w:val="24"/>
        </w:rPr>
      </w:pPr>
    </w:p>
    <w:p w14:paraId="513C7867" w14:textId="77777777" w:rsidR="000B5540" w:rsidRDefault="000B5540">
      <w:pPr>
        <w:spacing w:line="240" w:lineRule="auto"/>
        <w:rPr>
          <w:sz w:val="24"/>
          <w:szCs w:val="24"/>
        </w:rPr>
      </w:pPr>
    </w:p>
    <w:p w14:paraId="17E3E229" w14:textId="77777777" w:rsidR="000B5540" w:rsidRDefault="000B5540">
      <w:pPr>
        <w:spacing w:line="240" w:lineRule="auto"/>
        <w:rPr>
          <w:sz w:val="24"/>
          <w:szCs w:val="24"/>
        </w:rPr>
      </w:pPr>
    </w:p>
    <w:p w14:paraId="1C67F119" w14:textId="77777777" w:rsidR="000B5540" w:rsidRDefault="000B5540">
      <w:pPr>
        <w:spacing w:line="240" w:lineRule="auto"/>
        <w:rPr>
          <w:sz w:val="24"/>
          <w:szCs w:val="24"/>
        </w:rPr>
      </w:pPr>
    </w:p>
    <w:p w14:paraId="5A991A61" w14:textId="77777777" w:rsidR="000B5540" w:rsidRDefault="00E30E2D">
      <w:pPr>
        <w:spacing w:line="240" w:lineRule="auto"/>
        <w:rPr>
          <w:sz w:val="20"/>
          <w:szCs w:val="20"/>
        </w:rPr>
      </w:pPr>
      <w:r>
        <w:rPr>
          <w:rFonts w:ascii="Calibri" w:eastAsia="Calibri" w:hAnsi="Calibri" w:cs="Calibri"/>
          <w:noProof/>
          <w:color w:val="0000FF"/>
          <w:sz w:val="24"/>
          <w:szCs w:val="24"/>
        </w:rPr>
        <w:drawing>
          <wp:inline distT="0" distB="0" distL="0" distR="0" wp14:anchorId="55E21AE5" wp14:editId="5E2EB588">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1117600" cy="393700"/>
                    </a:xfrm>
                    <a:prstGeom prst="rect">
                      <a:avLst/>
                    </a:prstGeom>
                    <a:ln/>
                  </pic:spPr>
                </pic:pic>
              </a:graphicData>
            </a:graphic>
          </wp:inline>
        </w:drawing>
      </w:r>
      <w:r>
        <w:rPr>
          <w:rFonts w:ascii="Calibri" w:eastAsia="Calibri" w:hAnsi="Calibri" w:cs="Calibri"/>
          <w:sz w:val="24"/>
          <w:szCs w:val="24"/>
        </w:rPr>
        <w:br/>
      </w:r>
      <w:r>
        <w:rPr>
          <w:b/>
          <w:sz w:val="20"/>
          <w:szCs w:val="20"/>
        </w:rPr>
        <w:t xml:space="preserve">This work is licensed under a </w:t>
      </w:r>
      <w:hyperlink r:id="rId10">
        <w:r>
          <w:rPr>
            <w:rFonts w:ascii="Calibri" w:eastAsia="Calibri" w:hAnsi="Calibri" w:cs="Calibri"/>
            <w:color w:val="0000FF"/>
            <w:sz w:val="20"/>
            <w:szCs w:val="20"/>
            <w:u w:val="single"/>
          </w:rPr>
          <w:t>Creative Commons Attribution-ShareAlike 4.0 International License</w:t>
        </w:r>
      </w:hyperlink>
      <w:r>
        <w:rPr>
          <w:b/>
          <w:sz w:val="20"/>
          <w:szCs w:val="20"/>
        </w:rPr>
        <w:t>.</w:t>
      </w:r>
    </w:p>
    <w:p w14:paraId="3E95F453" w14:textId="77777777" w:rsidR="000B5540" w:rsidRDefault="000B5540">
      <w:pPr>
        <w:spacing w:line="240" w:lineRule="auto"/>
        <w:rPr>
          <w:sz w:val="20"/>
          <w:szCs w:val="20"/>
        </w:rPr>
      </w:pPr>
    </w:p>
    <w:p w14:paraId="19CADC03" w14:textId="77777777" w:rsidR="000B5540" w:rsidRDefault="00E30E2D">
      <w:pPr>
        <w:widowControl w:val="0"/>
        <w:spacing w:line="240" w:lineRule="auto"/>
        <w:rPr>
          <w:sz w:val="20"/>
          <w:szCs w:val="20"/>
        </w:rPr>
      </w:pPr>
      <w:r>
        <w:rPr>
          <w:b/>
          <w:sz w:val="20"/>
          <w:szCs w:val="20"/>
        </w:rPr>
        <w:t>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ShareAlike licence</w:t>
      </w:r>
      <w:r>
        <w:rPr>
          <w:sz w:val="20"/>
          <w:szCs w:val="20"/>
        </w:rPr>
        <w:t>.</w:t>
      </w:r>
    </w:p>
    <w:p w14:paraId="166719FD" w14:textId="77777777" w:rsidR="000B5540" w:rsidRDefault="000B5540">
      <w:pPr>
        <w:widowControl w:val="0"/>
        <w:spacing w:line="240" w:lineRule="auto"/>
        <w:rPr>
          <w:sz w:val="20"/>
          <w:szCs w:val="20"/>
        </w:rPr>
      </w:pPr>
    </w:p>
    <w:p w14:paraId="0C5CA98C" w14:textId="77777777" w:rsidR="000B5540" w:rsidRDefault="00E30E2D">
      <w:pPr>
        <w:widowControl w:val="0"/>
        <w:spacing w:line="240" w:lineRule="auto"/>
        <w:rPr>
          <w:color w:val="000000"/>
          <w:sz w:val="20"/>
          <w:szCs w:val="20"/>
          <w:highlight w:val="white"/>
        </w:rPr>
      </w:pPr>
      <w:r>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59E120E5" w14:textId="77777777" w:rsidR="000B5540" w:rsidRDefault="000B5540">
      <w:pPr>
        <w:widowControl w:val="0"/>
        <w:spacing w:line="240" w:lineRule="auto"/>
        <w:rPr>
          <w:sz w:val="20"/>
          <w:szCs w:val="20"/>
        </w:rPr>
      </w:pPr>
    </w:p>
    <w:p w14:paraId="2CB7E482" w14:textId="77777777" w:rsidR="000B5540" w:rsidRDefault="00E30E2D">
      <w:pPr>
        <w:widowControl w:val="0"/>
        <w:spacing w:line="240" w:lineRule="auto"/>
        <w:rPr>
          <w:sz w:val="20"/>
          <w:szCs w:val="20"/>
        </w:rPr>
      </w:pPr>
      <w:r>
        <w:rPr>
          <w:sz w:val="20"/>
          <w:szCs w:val="20"/>
        </w:rPr>
        <w:t>Chan, L. et al. 2002. Budapest Open Access Initiative. New York: Open Society Institute. Available at: http://www.soros.org/openaccess/read.shtml [Accessed: 18 November 2015]</w:t>
      </w:r>
    </w:p>
    <w:p w14:paraId="25C6179C" w14:textId="77777777" w:rsidR="000B5540" w:rsidRDefault="00E30E2D">
      <w:pPr>
        <w:spacing w:line="240" w:lineRule="auto"/>
        <w:rPr>
          <w:sz w:val="20"/>
          <w:szCs w:val="20"/>
        </w:rPr>
      </w:pPr>
      <w:r>
        <w:br w:type="page"/>
      </w:r>
    </w:p>
    <w:p w14:paraId="308075B0" w14:textId="5B5344A8" w:rsidR="00CB09E1" w:rsidRDefault="00CB09E1">
      <w:pPr>
        <w:keepNext/>
        <w:keepLines/>
        <w:pBdr>
          <w:top w:val="nil"/>
          <w:left w:val="nil"/>
          <w:bottom w:val="nil"/>
          <w:right w:val="nil"/>
          <w:between w:val="nil"/>
        </w:pBdr>
        <w:spacing w:after="200" w:line="240" w:lineRule="auto"/>
        <w:rPr>
          <w:b/>
          <w:color w:val="000000"/>
          <w:sz w:val="36"/>
          <w:szCs w:val="36"/>
        </w:rPr>
      </w:pPr>
      <w:r w:rsidRPr="00CB09E1">
        <w:rPr>
          <w:b/>
          <w:bCs/>
          <w:color w:val="000000"/>
          <w:sz w:val="36"/>
          <w:szCs w:val="36"/>
          <w:lang w:val="en-US"/>
        </w:rPr>
        <w:lastRenderedPageBreak/>
        <w:t xml:space="preserve">Information </w:t>
      </w:r>
      <w:r w:rsidR="008B0B02">
        <w:rPr>
          <w:b/>
          <w:bCs/>
          <w:color w:val="000000"/>
          <w:sz w:val="36"/>
          <w:szCs w:val="36"/>
          <w:lang w:val="en-US"/>
        </w:rPr>
        <w:t>l</w:t>
      </w:r>
      <w:r w:rsidRPr="00CB09E1">
        <w:rPr>
          <w:b/>
          <w:bCs/>
          <w:color w:val="000000"/>
          <w:sz w:val="36"/>
          <w:szCs w:val="36"/>
          <w:lang w:val="en-US"/>
        </w:rPr>
        <w:t>iteracy curriculum mapping in the health sciences: A scoping review</w:t>
      </w:r>
      <w:r w:rsidRPr="00CB09E1">
        <w:rPr>
          <w:b/>
          <w:color w:val="000000"/>
          <w:sz w:val="36"/>
          <w:szCs w:val="36"/>
        </w:rPr>
        <w:t xml:space="preserve"> </w:t>
      </w:r>
    </w:p>
    <w:p w14:paraId="6554F7B2" w14:textId="6F2C017C" w:rsidR="000B5540" w:rsidRDefault="00CB09E1">
      <w:pPr>
        <w:keepNext/>
        <w:keepLines/>
        <w:pBdr>
          <w:top w:val="nil"/>
          <w:left w:val="nil"/>
          <w:bottom w:val="nil"/>
          <w:right w:val="nil"/>
          <w:between w:val="nil"/>
        </w:pBdr>
        <w:spacing w:after="200" w:line="240" w:lineRule="auto"/>
        <w:rPr>
          <w:b/>
          <w:color w:val="000000"/>
          <w:sz w:val="28"/>
          <w:szCs w:val="28"/>
        </w:rPr>
      </w:pPr>
      <w:r>
        <w:rPr>
          <w:b/>
          <w:color w:val="000000"/>
          <w:sz w:val="28"/>
          <w:szCs w:val="28"/>
        </w:rPr>
        <w:t xml:space="preserve">Devon Olson, </w:t>
      </w:r>
      <w:r w:rsidRPr="00CB09E1">
        <w:rPr>
          <w:b/>
          <w:color w:val="000000"/>
          <w:sz w:val="28"/>
          <w:szCs w:val="28"/>
        </w:rPr>
        <w:t>Research &amp; Education Librarian</w:t>
      </w:r>
      <w:r>
        <w:rPr>
          <w:b/>
          <w:color w:val="000000"/>
          <w:sz w:val="28"/>
          <w:szCs w:val="28"/>
        </w:rPr>
        <w:t xml:space="preserve">, </w:t>
      </w:r>
      <w:r w:rsidRPr="00CB09E1">
        <w:rPr>
          <w:b/>
          <w:color w:val="000000"/>
          <w:sz w:val="28"/>
          <w:szCs w:val="28"/>
        </w:rPr>
        <w:t>University of North Dakota School of Medicine and Health Sciences</w:t>
      </w:r>
      <w:r>
        <w:rPr>
          <w:b/>
          <w:color w:val="000000"/>
          <w:sz w:val="28"/>
          <w:szCs w:val="28"/>
        </w:rPr>
        <w:t xml:space="preserve">. </w:t>
      </w:r>
      <w:r w:rsidR="002C1148">
        <w:rPr>
          <w:b/>
          <w:color w:val="000000"/>
          <w:sz w:val="28"/>
          <w:szCs w:val="28"/>
        </w:rPr>
        <w:t xml:space="preserve">Email: </w:t>
      </w:r>
      <w:hyperlink r:id="rId11" w:history="1">
        <w:r w:rsidR="002C1148" w:rsidRPr="00A74EA0">
          <w:rPr>
            <w:rStyle w:val="Hyperlink"/>
            <w:b/>
            <w:sz w:val="28"/>
            <w:szCs w:val="28"/>
          </w:rPr>
          <w:t>devon.olson.2@und.edu</w:t>
        </w:r>
      </w:hyperlink>
      <w:r>
        <w:rPr>
          <w:b/>
          <w:color w:val="000000"/>
          <w:sz w:val="28"/>
          <w:szCs w:val="28"/>
        </w:rPr>
        <w:t>.</w:t>
      </w:r>
      <w:r w:rsidR="002C1148" w:rsidRPr="002C1148">
        <w:rPr>
          <w:b/>
          <w:color w:val="000000"/>
          <w:sz w:val="28"/>
          <w:szCs w:val="28"/>
        </w:rPr>
        <w:t xml:space="preserve"> </w:t>
      </w:r>
      <w:r w:rsidR="002C1148">
        <w:rPr>
          <w:b/>
          <w:color w:val="000000"/>
          <w:sz w:val="28"/>
          <w:szCs w:val="28"/>
        </w:rPr>
        <w:t>ORCID:</w:t>
      </w:r>
      <w:r>
        <w:rPr>
          <w:b/>
          <w:color w:val="000000"/>
          <w:sz w:val="28"/>
          <w:szCs w:val="28"/>
        </w:rPr>
        <w:t xml:space="preserve"> </w:t>
      </w:r>
      <w:hyperlink r:id="rId12" w:history="1">
        <w:r w:rsidRPr="00CB09E1">
          <w:rPr>
            <w:rStyle w:val="Hyperlink"/>
            <w:b/>
            <w:sz w:val="28"/>
            <w:szCs w:val="28"/>
          </w:rPr>
          <w:t>0000-0002-1682-0199</w:t>
        </w:r>
      </w:hyperlink>
      <w:r>
        <w:rPr>
          <w:b/>
          <w:color w:val="000000"/>
          <w:sz w:val="28"/>
          <w:szCs w:val="28"/>
        </w:rPr>
        <w:t xml:space="preserve">. </w:t>
      </w:r>
      <w:hyperlink r:id="rId13" w:history="1">
        <w:r w:rsidR="00647307" w:rsidRPr="008E4055">
          <w:rPr>
            <w:rStyle w:val="Hyperlink"/>
            <w:b/>
            <w:sz w:val="28"/>
            <w:szCs w:val="28"/>
          </w:rPr>
          <w:t>@devononabike</w:t>
        </w:r>
      </w:hyperlink>
    </w:p>
    <w:p w14:paraId="055E4BD2" w14:textId="4D333E42" w:rsidR="00CB09E1" w:rsidRDefault="00CB09E1">
      <w:pPr>
        <w:keepNext/>
        <w:keepLines/>
        <w:pBdr>
          <w:top w:val="nil"/>
          <w:left w:val="nil"/>
          <w:bottom w:val="nil"/>
          <w:right w:val="nil"/>
          <w:between w:val="nil"/>
        </w:pBdr>
        <w:spacing w:after="200" w:line="240" w:lineRule="auto"/>
        <w:rPr>
          <w:b/>
          <w:color w:val="000000"/>
          <w:sz w:val="28"/>
          <w:szCs w:val="28"/>
        </w:rPr>
      </w:pPr>
      <w:r>
        <w:rPr>
          <w:b/>
          <w:color w:val="000000"/>
          <w:sz w:val="28"/>
          <w:szCs w:val="28"/>
        </w:rPr>
        <w:t xml:space="preserve">Sandi </w:t>
      </w:r>
      <w:r w:rsidR="003D38CF">
        <w:rPr>
          <w:b/>
          <w:color w:val="000000"/>
          <w:sz w:val="28"/>
          <w:szCs w:val="28"/>
        </w:rPr>
        <w:t xml:space="preserve">L. </w:t>
      </w:r>
      <w:r>
        <w:rPr>
          <w:b/>
          <w:color w:val="000000"/>
          <w:sz w:val="28"/>
          <w:szCs w:val="28"/>
        </w:rPr>
        <w:t xml:space="preserve">Bates, </w:t>
      </w:r>
      <w:r w:rsidRPr="00CB09E1">
        <w:rPr>
          <w:b/>
          <w:color w:val="000000"/>
          <w:sz w:val="28"/>
          <w:szCs w:val="28"/>
        </w:rPr>
        <w:t>Southwest Clinical Campus Librarian</w:t>
      </w:r>
      <w:r>
        <w:rPr>
          <w:b/>
          <w:color w:val="000000"/>
          <w:sz w:val="28"/>
          <w:szCs w:val="28"/>
        </w:rPr>
        <w:t xml:space="preserve">, </w:t>
      </w:r>
      <w:r w:rsidRPr="00CB09E1">
        <w:rPr>
          <w:b/>
          <w:color w:val="000000"/>
          <w:sz w:val="28"/>
          <w:szCs w:val="28"/>
        </w:rPr>
        <w:t>University of North Dakota School of Medicine and Health Sciences</w:t>
      </w:r>
      <w:r w:rsidR="002C1148">
        <w:rPr>
          <w:b/>
          <w:color w:val="000000"/>
          <w:sz w:val="28"/>
          <w:szCs w:val="28"/>
        </w:rPr>
        <w:t>. Email:</w:t>
      </w:r>
      <w:r>
        <w:rPr>
          <w:b/>
          <w:color w:val="000000"/>
          <w:sz w:val="28"/>
          <w:szCs w:val="28"/>
        </w:rPr>
        <w:t xml:space="preserve"> </w:t>
      </w:r>
      <w:hyperlink r:id="rId14" w:history="1">
        <w:r w:rsidRPr="007866B0">
          <w:rPr>
            <w:rStyle w:val="Hyperlink"/>
            <w:b/>
            <w:sz w:val="28"/>
            <w:szCs w:val="28"/>
          </w:rPr>
          <w:t>sandi.bates@und.edu</w:t>
        </w:r>
      </w:hyperlink>
      <w:r>
        <w:rPr>
          <w:b/>
          <w:color w:val="000000"/>
          <w:sz w:val="28"/>
          <w:szCs w:val="28"/>
        </w:rPr>
        <w:t>.</w:t>
      </w:r>
      <w:r w:rsidR="002C1148">
        <w:rPr>
          <w:b/>
          <w:color w:val="000000"/>
          <w:sz w:val="28"/>
          <w:szCs w:val="28"/>
        </w:rPr>
        <w:t xml:space="preserve"> ORCID:</w:t>
      </w:r>
      <w:r>
        <w:rPr>
          <w:b/>
          <w:color w:val="000000"/>
          <w:sz w:val="28"/>
          <w:szCs w:val="28"/>
        </w:rPr>
        <w:t xml:space="preserve"> </w:t>
      </w:r>
      <w:hyperlink r:id="rId15" w:history="1">
        <w:r w:rsidR="003D38CF" w:rsidRPr="003D38CF">
          <w:rPr>
            <w:rStyle w:val="Hyperlink"/>
            <w:b/>
            <w:sz w:val="28"/>
            <w:szCs w:val="28"/>
          </w:rPr>
          <w:t>0009-0004-8563-8915</w:t>
        </w:r>
      </w:hyperlink>
      <w:r>
        <w:rPr>
          <w:b/>
          <w:color w:val="000000"/>
          <w:sz w:val="28"/>
          <w:szCs w:val="28"/>
        </w:rPr>
        <w:t xml:space="preserve">. </w:t>
      </w:r>
    </w:p>
    <w:p w14:paraId="7CD76CC4" w14:textId="1C749CCA" w:rsidR="00CB09E1" w:rsidRDefault="00CB09E1">
      <w:pPr>
        <w:keepNext/>
        <w:keepLines/>
        <w:pBdr>
          <w:top w:val="nil"/>
          <w:left w:val="nil"/>
          <w:bottom w:val="nil"/>
          <w:right w:val="nil"/>
          <w:between w:val="nil"/>
        </w:pBdr>
        <w:spacing w:after="200" w:line="240" w:lineRule="auto"/>
        <w:rPr>
          <w:b/>
          <w:color w:val="000000"/>
          <w:sz w:val="28"/>
          <w:szCs w:val="28"/>
        </w:rPr>
      </w:pPr>
      <w:r w:rsidRPr="00CB09E1">
        <w:rPr>
          <w:b/>
          <w:color w:val="000000"/>
          <w:sz w:val="28"/>
          <w:szCs w:val="28"/>
        </w:rPr>
        <w:t>Shannon Yarbrough</w:t>
      </w:r>
      <w:r>
        <w:rPr>
          <w:b/>
          <w:color w:val="000000"/>
          <w:sz w:val="28"/>
          <w:szCs w:val="28"/>
        </w:rPr>
        <w:t xml:space="preserve">, </w:t>
      </w:r>
      <w:r w:rsidR="00D478BC" w:rsidRPr="00D478BC">
        <w:rPr>
          <w:b/>
          <w:bCs/>
          <w:color w:val="000000"/>
          <w:sz w:val="28"/>
          <w:szCs w:val="28"/>
        </w:rPr>
        <w:t>Research and Teaching Librarian, University of New England</w:t>
      </w:r>
      <w:r w:rsidR="002C1148">
        <w:rPr>
          <w:b/>
          <w:bCs/>
          <w:color w:val="000000"/>
          <w:sz w:val="28"/>
          <w:szCs w:val="28"/>
        </w:rPr>
        <w:t xml:space="preserve">. </w:t>
      </w:r>
      <w:r w:rsidR="002C1148">
        <w:rPr>
          <w:b/>
          <w:color w:val="000000"/>
          <w:sz w:val="28"/>
          <w:szCs w:val="28"/>
        </w:rPr>
        <w:t>Email:</w:t>
      </w:r>
      <w:r w:rsidR="00D478BC" w:rsidRPr="00D478BC">
        <w:rPr>
          <w:b/>
          <w:bCs/>
          <w:color w:val="000000"/>
          <w:sz w:val="28"/>
          <w:szCs w:val="28"/>
        </w:rPr>
        <w:t> </w:t>
      </w:r>
      <w:hyperlink r:id="rId16" w:tgtFrame="_blank" w:history="1">
        <w:r w:rsidR="00D478BC" w:rsidRPr="00D478BC">
          <w:rPr>
            <w:rStyle w:val="Hyperlink"/>
            <w:b/>
            <w:bCs/>
            <w:sz w:val="28"/>
            <w:szCs w:val="28"/>
          </w:rPr>
          <w:t>syarbrough1@une.edu</w:t>
        </w:r>
      </w:hyperlink>
      <w:r>
        <w:rPr>
          <w:b/>
          <w:color w:val="000000"/>
          <w:sz w:val="28"/>
          <w:szCs w:val="28"/>
        </w:rPr>
        <w:t>.</w:t>
      </w:r>
      <w:r w:rsidR="002C1148" w:rsidRPr="002C1148">
        <w:rPr>
          <w:b/>
          <w:color w:val="000000"/>
          <w:sz w:val="28"/>
          <w:szCs w:val="28"/>
        </w:rPr>
        <w:t xml:space="preserve"> </w:t>
      </w:r>
      <w:r w:rsidR="002C1148">
        <w:rPr>
          <w:b/>
          <w:color w:val="000000"/>
          <w:sz w:val="28"/>
          <w:szCs w:val="28"/>
        </w:rPr>
        <w:t>ORCID:</w:t>
      </w:r>
      <w:r>
        <w:rPr>
          <w:b/>
          <w:color w:val="000000"/>
          <w:sz w:val="28"/>
          <w:szCs w:val="28"/>
        </w:rPr>
        <w:t xml:space="preserve"> </w:t>
      </w:r>
      <w:hyperlink r:id="rId17" w:history="1">
        <w:r w:rsidR="000F052F" w:rsidRPr="000F052F">
          <w:rPr>
            <w:rStyle w:val="Hyperlink"/>
            <w:b/>
            <w:sz w:val="28"/>
            <w:szCs w:val="28"/>
          </w:rPr>
          <w:t>0009-0004-7384-3276</w:t>
        </w:r>
      </w:hyperlink>
    </w:p>
    <w:p w14:paraId="77990966" w14:textId="6C0EAF7C" w:rsidR="00AB2BC5" w:rsidRDefault="00CB09E1">
      <w:pPr>
        <w:keepNext/>
        <w:keepLines/>
        <w:pBdr>
          <w:top w:val="nil"/>
          <w:left w:val="nil"/>
          <w:bottom w:val="nil"/>
          <w:right w:val="nil"/>
          <w:between w:val="nil"/>
        </w:pBdr>
        <w:spacing w:after="200" w:line="240" w:lineRule="auto"/>
        <w:rPr>
          <w:b/>
          <w:color w:val="000000"/>
          <w:sz w:val="28"/>
          <w:szCs w:val="28"/>
        </w:rPr>
      </w:pPr>
      <w:r>
        <w:rPr>
          <w:b/>
          <w:color w:val="000000"/>
          <w:sz w:val="28"/>
          <w:szCs w:val="28"/>
        </w:rPr>
        <w:t xml:space="preserve">Sara Westall, </w:t>
      </w:r>
      <w:r w:rsidR="00AA2E80" w:rsidRPr="00AA2E80">
        <w:rPr>
          <w:b/>
          <w:color w:val="000000"/>
          <w:sz w:val="28"/>
          <w:szCs w:val="28"/>
        </w:rPr>
        <w:t>Northeast/Southeast Clinical Campus Librarian</w:t>
      </w:r>
      <w:r>
        <w:rPr>
          <w:b/>
          <w:color w:val="000000"/>
          <w:sz w:val="28"/>
          <w:szCs w:val="28"/>
        </w:rPr>
        <w:t xml:space="preserve">, </w:t>
      </w:r>
      <w:r w:rsidRPr="00CB09E1">
        <w:rPr>
          <w:b/>
          <w:color w:val="000000"/>
          <w:sz w:val="28"/>
          <w:szCs w:val="28"/>
        </w:rPr>
        <w:t>University of North Dakota School of Medicine and Health Sciences</w:t>
      </w:r>
      <w:r w:rsidR="002C1148">
        <w:rPr>
          <w:b/>
          <w:color w:val="000000"/>
          <w:sz w:val="28"/>
          <w:szCs w:val="28"/>
        </w:rPr>
        <w:t>. Email:</w:t>
      </w:r>
      <w:r w:rsidR="00AB2BC5">
        <w:rPr>
          <w:b/>
          <w:color w:val="000000"/>
          <w:sz w:val="28"/>
          <w:szCs w:val="28"/>
        </w:rPr>
        <w:t xml:space="preserve"> </w:t>
      </w:r>
      <w:hyperlink r:id="rId18" w:history="1">
        <w:r w:rsidR="00AB2BC5" w:rsidRPr="007866B0">
          <w:rPr>
            <w:rStyle w:val="Hyperlink"/>
            <w:b/>
            <w:sz w:val="28"/>
            <w:szCs w:val="28"/>
          </w:rPr>
          <w:t>sara.westall@und.edu</w:t>
        </w:r>
      </w:hyperlink>
      <w:r w:rsidR="00AB2BC5">
        <w:rPr>
          <w:b/>
          <w:color w:val="000000"/>
          <w:sz w:val="28"/>
          <w:szCs w:val="28"/>
        </w:rPr>
        <w:t xml:space="preserve">. </w:t>
      </w:r>
    </w:p>
    <w:p w14:paraId="49ECA0BE" w14:textId="6AA8E036" w:rsidR="00AB2BC5" w:rsidRDefault="00AB2BC5">
      <w:pPr>
        <w:keepNext/>
        <w:keepLines/>
        <w:pBdr>
          <w:top w:val="nil"/>
          <w:left w:val="nil"/>
          <w:bottom w:val="nil"/>
          <w:right w:val="nil"/>
          <w:between w:val="nil"/>
        </w:pBdr>
        <w:spacing w:after="200" w:line="240" w:lineRule="auto"/>
        <w:rPr>
          <w:b/>
          <w:color w:val="000000"/>
          <w:sz w:val="28"/>
          <w:szCs w:val="28"/>
        </w:rPr>
      </w:pPr>
      <w:r>
        <w:rPr>
          <w:b/>
          <w:color w:val="000000"/>
          <w:sz w:val="28"/>
          <w:szCs w:val="28"/>
        </w:rPr>
        <w:t xml:space="preserve">Megan </w:t>
      </w:r>
      <w:r w:rsidR="00137CDB">
        <w:rPr>
          <w:b/>
          <w:color w:val="000000"/>
          <w:sz w:val="28"/>
          <w:szCs w:val="28"/>
        </w:rPr>
        <w:t xml:space="preserve">Keely Carroll </w:t>
      </w:r>
      <w:r>
        <w:rPr>
          <w:b/>
          <w:color w:val="000000"/>
          <w:sz w:val="28"/>
          <w:szCs w:val="28"/>
        </w:rPr>
        <w:t xml:space="preserve">Denis, </w:t>
      </w:r>
      <w:r w:rsidRPr="00AB2BC5">
        <w:rPr>
          <w:b/>
          <w:color w:val="000000"/>
          <w:sz w:val="28"/>
          <w:szCs w:val="28"/>
        </w:rPr>
        <w:t>Research &amp; Education Librarian</w:t>
      </w:r>
      <w:r>
        <w:rPr>
          <w:b/>
          <w:color w:val="000000"/>
          <w:sz w:val="28"/>
          <w:szCs w:val="28"/>
        </w:rPr>
        <w:t xml:space="preserve">, </w:t>
      </w:r>
      <w:r w:rsidRPr="00CB09E1">
        <w:rPr>
          <w:b/>
          <w:color w:val="000000"/>
          <w:sz w:val="28"/>
          <w:szCs w:val="28"/>
        </w:rPr>
        <w:t>University of North Dakota School of Medicine and Health Sciences</w:t>
      </w:r>
      <w:r w:rsidR="002C1148">
        <w:rPr>
          <w:b/>
          <w:color w:val="000000"/>
          <w:sz w:val="28"/>
          <w:szCs w:val="28"/>
        </w:rPr>
        <w:t>. Email:</w:t>
      </w:r>
      <w:r w:rsidRPr="00AB2BC5">
        <w:t xml:space="preserve"> </w:t>
      </w:r>
      <w:hyperlink r:id="rId19" w:history="1">
        <w:r w:rsidRPr="007866B0">
          <w:rPr>
            <w:rStyle w:val="Hyperlink"/>
            <w:b/>
            <w:sz w:val="28"/>
            <w:szCs w:val="28"/>
          </w:rPr>
          <w:t>megan.denis@und.edu</w:t>
        </w:r>
      </w:hyperlink>
      <w:r>
        <w:rPr>
          <w:b/>
          <w:color w:val="000000"/>
          <w:sz w:val="28"/>
          <w:szCs w:val="28"/>
        </w:rPr>
        <w:t>.</w:t>
      </w:r>
      <w:r w:rsidR="002C1148" w:rsidRPr="002C1148">
        <w:rPr>
          <w:b/>
          <w:color w:val="000000"/>
          <w:sz w:val="28"/>
          <w:szCs w:val="28"/>
        </w:rPr>
        <w:t xml:space="preserve"> </w:t>
      </w:r>
      <w:r w:rsidR="002C1148">
        <w:rPr>
          <w:b/>
          <w:color w:val="000000"/>
          <w:sz w:val="28"/>
          <w:szCs w:val="28"/>
        </w:rPr>
        <w:t>ORCID:</w:t>
      </w:r>
      <w:r>
        <w:rPr>
          <w:b/>
          <w:color w:val="000000"/>
          <w:sz w:val="28"/>
          <w:szCs w:val="28"/>
        </w:rPr>
        <w:t xml:space="preserve"> </w:t>
      </w:r>
      <w:hyperlink r:id="rId20" w:history="1">
        <w:r w:rsidR="00D665ED" w:rsidRPr="00AC1E3A">
          <w:rPr>
            <w:rStyle w:val="Hyperlink"/>
            <w:b/>
            <w:sz w:val="28"/>
            <w:szCs w:val="28"/>
          </w:rPr>
          <w:t>0000-0002-8923-5863</w:t>
        </w:r>
      </w:hyperlink>
    </w:p>
    <w:p w14:paraId="42A5F4A4" w14:textId="3678B5EF" w:rsidR="00CB09E1" w:rsidRDefault="00AB2BC5">
      <w:pPr>
        <w:keepNext/>
        <w:keepLines/>
        <w:pBdr>
          <w:top w:val="nil"/>
          <w:left w:val="nil"/>
          <w:bottom w:val="nil"/>
          <w:right w:val="nil"/>
          <w:between w:val="nil"/>
        </w:pBdr>
        <w:spacing w:after="200" w:line="240" w:lineRule="auto"/>
        <w:rPr>
          <w:b/>
          <w:color w:val="000000"/>
          <w:sz w:val="28"/>
          <w:szCs w:val="28"/>
        </w:rPr>
      </w:pPr>
      <w:r>
        <w:rPr>
          <w:b/>
          <w:color w:val="000000"/>
          <w:sz w:val="28"/>
          <w:szCs w:val="28"/>
        </w:rPr>
        <w:t xml:space="preserve">Montanna Barnett, </w:t>
      </w:r>
      <w:r w:rsidRPr="00AB2BC5">
        <w:rPr>
          <w:b/>
          <w:color w:val="000000"/>
          <w:sz w:val="28"/>
          <w:szCs w:val="28"/>
        </w:rPr>
        <w:t>Research &amp; Education Librarian</w:t>
      </w:r>
      <w:r>
        <w:rPr>
          <w:b/>
          <w:color w:val="000000"/>
          <w:sz w:val="28"/>
          <w:szCs w:val="28"/>
        </w:rPr>
        <w:t xml:space="preserve">, </w:t>
      </w:r>
      <w:r w:rsidRPr="00CB09E1">
        <w:rPr>
          <w:b/>
          <w:color w:val="000000"/>
          <w:sz w:val="28"/>
          <w:szCs w:val="28"/>
        </w:rPr>
        <w:t>University of North Dakota School of Medicine and Health Sciences</w:t>
      </w:r>
      <w:r w:rsidR="002C1148">
        <w:rPr>
          <w:b/>
          <w:color w:val="000000"/>
          <w:sz w:val="28"/>
          <w:szCs w:val="28"/>
        </w:rPr>
        <w:t>. Email:</w:t>
      </w:r>
      <w:r>
        <w:rPr>
          <w:b/>
          <w:color w:val="000000"/>
          <w:sz w:val="28"/>
          <w:szCs w:val="28"/>
        </w:rPr>
        <w:t xml:space="preserve"> </w:t>
      </w:r>
      <w:hyperlink r:id="rId21" w:history="1">
        <w:r w:rsidRPr="007866B0">
          <w:rPr>
            <w:rStyle w:val="Hyperlink"/>
            <w:b/>
            <w:sz w:val="28"/>
            <w:szCs w:val="28"/>
          </w:rPr>
          <w:t>montanna.barnett@und.edu</w:t>
        </w:r>
      </w:hyperlink>
      <w:r>
        <w:rPr>
          <w:b/>
          <w:color w:val="000000"/>
          <w:sz w:val="28"/>
          <w:szCs w:val="28"/>
        </w:rPr>
        <w:t xml:space="preserve">. </w:t>
      </w:r>
    </w:p>
    <w:p w14:paraId="6E6DFBBA" w14:textId="77777777" w:rsidR="007E46D4" w:rsidRDefault="007E46D4" w:rsidP="007E46D4">
      <w:pPr>
        <w:keepNext/>
        <w:keepLines/>
        <w:pBdr>
          <w:top w:val="nil"/>
          <w:left w:val="nil"/>
          <w:bottom w:val="nil"/>
          <w:right w:val="nil"/>
          <w:between w:val="nil"/>
        </w:pBdr>
        <w:spacing w:line="240" w:lineRule="auto"/>
        <w:rPr>
          <w:b/>
          <w:color w:val="000000"/>
          <w:sz w:val="28"/>
          <w:szCs w:val="28"/>
        </w:rPr>
      </w:pPr>
    </w:p>
    <w:p w14:paraId="07AF51B1" w14:textId="435C4CAA" w:rsidR="000B5540" w:rsidRDefault="00E30E2D">
      <w:pPr>
        <w:keepNext/>
        <w:keepLines/>
        <w:pBdr>
          <w:top w:val="nil"/>
          <w:left w:val="nil"/>
          <w:bottom w:val="nil"/>
          <w:right w:val="nil"/>
          <w:between w:val="nil"/>
        </w:pBdr>
        <w:spacing w:after="200" w:line="240" w:lineRule="auto"/>
        <w:rPr>
          <w:b/>
          <w:color w:val="000000"/>
          <w:sz w:val="28"/>
          <w:szCs w:val="28"/>
        </w:rPr>
      </w:pPr>
      <w:r>
        <w:rPr>
          <w:b/>
          <w:color w:val="000000"/>
          <w:sz w:val="28"/>
          <w:szCs w:val="28"/>
        </w:rPr>
        <w:t>Abstract</w:t>
      </w:r>
    </w:p>
    <w:p w14:paraId="6FFA133C" w14:textId="23F20893" w:rsidR="00AB2BC5" w:rsidRDefault="00AB2BC5" w:rsidP="00AB2BC5">
      <w:pPr>
        <w:pBdr>
          <w:top w:val="nil"/>
          <w:left w:val="nil"/>
          <w:bottom w:val="nil"/>
          <w:right w:val="nil"/>
          <w:between w:val="nil"/>
        </w:pBdr>
        <w:spacing w:line="240" w:lineRule="auto"/>
        <w:rPr>
          <w:color w:val="000000"/>
          <w:lang w:val="en-US"/>
        </w:rPr>
      </w:pPr>
      <w:r w:rsidRPr="00AB2BC5">
        <w:rPr>
          <w:color w:val="000000"/>
          <w:lang w:val="en-US"/>
        </w:rPr>
        <w:t>Instructional medical librarians are uniquely positioned in a context governed by multiple instructional frameworks emerging from librarianship and the professions with which they liaise. Yet very little literature exists on medical librarians’ use of curriculum mapping to align their instruction with these frameworks. This review illuminates the current state of curriculum mapping in medical librarianship.</w:t>
      </w:r>
    </w:p>
    <w:p w14:paraId="173FB876" w14:textId="77777777" w:rsidR="00AB2BC5" w:rsidRPr="00AB2BC5" w:rsidRDefault="00AB2BC5" w:rsidP="00AB2BC5">
      <w:pPr>
        <w:pBdr>
          <w:top w:val="nil"/>
          <w:left w:val="nil"/>
          <w:bottom w:val="nil"/>
          <w:right w:val="nil"/>
          <w:between w:val="nil"/>
        </w:pBdr>
        <w:spacing w:line="240" w:lineRule="auto"/>
        <w:rPr>
          <w:color w:val="000000"/>
          <w:lang w:val="en-US"/>
        </w:rPr>
      </w:pPr>
    </w:p>
    <w:p w14:paraId="67C0D03F" w14:textId="021A944A" w:rsidR="00AB2BC5" w:rsidRDefault="00AB2BC5" w:rsidP="00AB2BC5">
      <w:pPr>
        <w:pBdr>
          <w:top w:val="nil"/>
          <w:left w:val="nil"/>
          <w:bottom w:val="nil"/>
          <w:right w:val="nil"/>
          <w:between w:val="nil"/>
        </w:pBdr>
        <w:spacing w:line="240" w:lineRule="auto"/>
        <w:rPr>
          <w:color w:val="000000"/>
          <w:lang w:val="en-US"/>
        </w:rPr>
      </w:pPr>
      <w:r w:rsidRPr="00AB2BC5">
        <w:rPr>
          <w:color w:val="000000"/>
          <w:lang w:val="en-US"/>
        </w:rPr>
        <w:t>We searched five bibliographic databases for articles published between 2010 and August 2021 and centred on information literacy</w:t>
      </w:r>
      <w:r w:rsidR="008831AC">
        <w:rPr>
          <w:color w:val="000000"/>
          <w:lang w:val="en-US"/>
        </w:rPr>
        <w:t xml:space="preserve"> (IL)</w:t>
      </w:r>
      <w:r w:rsidRPr="00AB2BC5">
        <w:rPr>
          <w:color w:val="000000"/>
          <w:lang w:val="en-US"/>
        </w:rPr>
        <w:t xml:space="preserve"> curriculum mapping within a health sciences university context. Studies were included based upon pre-determined inclusion and exclusion criteria. Data were extracted using an instrument developed primarily a priori, with some codes developed emergently in response to preliminary review of the data.</w:t>
      </w:r>
    </w:p>
    <w:p w14:paraId="0C21AD0C" w14:textId="77777777" w:rsidR="00AB2BC5" w:rsidRPr="00AB2BC5" w:rsidRDefault="00AB2BC5" w:rsidP="00AB2BC5">
      <w:pPr>
        <w:pBdr>
          <w:top w:val="nil"/>
          <w:left w:val="nil"/>
          <w:bottom w:val="nil"/>
          <w:right w:val="nil"/>
          <w:between w:val="nil"/>
        </w:pBdr>
        <w:spacing w:line="240" w:lineRule="auto"/>
        <w:rPr>
          <w:color w:val="000000"/>
          <w:lang w:val="en-US"/>
        </w:rPr>
      </w:pPr>
    </w:p>
    <w:p w14:paraId="6B01DD92" w14:textId="6CCE0408" w:rsidR="00AB2BC5" w:rsidRDefault="00AB2BC5" w:rsidP="00AB2BC5">
      <w:pPr>
        <w:pBdr>
          <w:top w:val="nil"/>
          <w:left w:val="nil"/>
          <w:bottom w:val="nil"/>
          <w:right w:val="nil"/>
          <w:between w:val="nil"/>
        </w:pBdr>
        <w:spacing w:line="240" w:lineRule="auto"/>
        <w:rPr>
          <w:color w:val="000000"/>
          <w:lang w:val="en-US"/>
        </w:rPr>
      </w:pPr>
      <w:r w:rsidRPr="00AB2BC5">
        <w:rPr>
          <w:color w:val="000000"/>
          <w:lang w:val="en-US"/>
        </w:rPr>
        <w:t xml:space="preserve">We included 127 studies focused on curriculum mapping, of which only 24 included structures which might be considered “curriculum maps”. Across all 127 studies included, The Association of College &amp; Research Libraries’ Information Literacy Competency Standards for Libraries for Higher Education was the most-used </w:t>
      </w:r>
      <w:r w:rsidR="0046555C">
        <w:rPr>
          <w:color w:val="000000"/>
          <w:lang w:val="en-US"/>
        </w:rPr>
        <w:t>IL</w:t>
      </w:r>
      <w:r w:rsidRPr="00AB2BC5">
        <w:rPr>
          <w:color w:val="000000"/>
          <w:lang w:val="en-US"/>
        </w:rPr>
        <w:t xml:space="preserve"> framework, though versions of evidence-based practice were used more often, with a great deal of diversity and incomplete reporting on how these frames informed instruction of discrete concepts and skills. Within the 24 articles containing </w:t>
      </w:r>
      <w:r w:rsidRPr="00AB2BC5">
        <w:rPr>
          <w:color w:val="000000"/>
          <w:lang w:val="en-US"/>
        </w:rPr>
        <w:lastRenderedPageBreak/>
        <w:t xml:space="preserve">figurative curriculum maps, the same diversity of concepts and incomplete reporting was present, with librarians mapping </w:t>
      </w:r>
      <w:r w:rsidR="00710E9E">
        <w:rPr>
          <w:color w:val="000000"/>
          <w:lang w:val="en-US"/>
        </w:rPr>
        <w:t>IL</w:t>
      </w:r>
      <w:r w:rsidRPr="00AB2BC5">
        <w:rPr>
          <w:color w:val="000000"/>
          <w:lang w:val="en-US"/>
        </w:rPr>
        <w:t xml:space="preserve"> frameworks to classroom activities more often than learning outcomes or competencies.</w:t>
      </w:r>
    </w:p>
    <w:p w14:paraId="0F6330A8" w14:textId="77777777" w:rsidR="00AB2BC5" w:rsidRPr="00AB2BC5" w:rsidRDefault="00AB2BC5" w:rsidP="00AB2BC5">
      <w:pPr>
        <w:pBdr>
          <w:top w:val="nil"/>
          <w:left w:val="nil"/>
          <w:bottom w:val="nil"/>
          <w:right w:val="nil"/>
          <w:between w:val="nil"/>
        </w:pBdr>
        <w:spacing w:line="240" w:lineRule="auto"/>
        <w:rPr>
          <w:b/>
          <w:bCs/>
          <w:color w:val="000000"/>
          <w:lang w:val="en-US"/>
        </w:rPr>
      </w:pPr>
    </w:p>
    <w:p w14:paraId="419E1E54" w14:textId="367D9260" w:rsidR="00AB2BC5" w:rsidRPr="00AB2BC5" w:rsidRDefault="00AB2BC5" w:rsidP="00AB2BC5">
      <w:pPr>
        <w:pBdr>
          <w:top w:val="nil"/>
          <w:left w:val="nil"/>
          <w:bottom w:val="nil"/>
          <w:right w:val="nil"/>
          <w:between w:val="nil"/>
        </w:pBdr>
        <w:spacing w:line="240" w:lineRule="auto"/>
        <w:rPr>
          <w:color w:val="000000"/>
          <w:lang w:val="en-US"/>
        </w:rPr>
      </w:pPr>
      <w:r w:rsidRPr="00AB2BC5">
        <w:rPr>
          <w:color w:val="000000"/>
          <w:lang w:val="en-US"/>
        </w:rPr>
        <w:t xml:space="preserve">Development of curricular maps aligning discrete </w:t>
      </w:r>
      <w:r w:rsidR="00710E9E">
        <w:rPr>
          <w:color w:val="000000"/>
          <w:lang w:val="en-US"/>
        </w:rPr>
        <w:t>IL</w:t>
      </w:r>
      <w:r w:rsidRPr="00AB2BC5">
        <w:rPr>
          <w:color w:val="000000"/>
          <w:lang w:val="en-US"/>
        </w:rPr>
        <w:t xml:space="preserve"> concepts and skills with different disciplinary contexts is needed to provide instructors with a modular structure they might implement in their own contexts. To further the identification of best practices, future research should examine existing curricular maps made by librarians.</w:t>
      </w:r>
    </w:p>
    <w:p w14:paraId="3173908B" w14:textId="79393F96" w:rsidR="000B5540" w:rsidRDefault="000B5540">
      <w:pPr>
        <w:pBdr>
          <w:top w:val="nil"/>
          <w:left w:val="nil"/>
          <w:bottom w:val="nil"/>
          <w:right w:val="nil"/>
          <w:between w:val="nil"/>
        </w:pBdr>
        <w:spacing w:line="240" w:lineRule="auto"/>
        <w:rPr>
          <w:color w:val="000000"/>
        </w:rPr>
      </w:pPr>
    </w:p>
    <w:p w14:paraId="3B9DDF5F" w14:textId="7AFAFC1E" w:rsidR="00AB2BC5" w:rsidRDefault="00AB2BC5" w:rsidP="00AB2BC5">
      <w:pPr>
        <w:keepNext/>
        <w:keepLines/>
        <w:pBdr>
          <w:top w:val="nil"/>
          <w:left w:val="nil"/>
          <w:bottom w:val="nil"/>
          <w:right w:val="nil"/>
          <w:between w:val="nil"/>
        </w:pBdr>
        <w:spacing w:after="200" w:line="240" w:lineRule="auto"/>
        <w:rPr>
          <w:b/>
          <w:color w:val="000000"/>
          <w:sz w:val="28"/>
          <w:szCs w:val="28"/>
        </w:rPr>
      </w:pPr>
      <w:r>
        <w:rPr>
          <w:b/>
          <w:color w:val="000000"/>
          <w:sz w:val="28"/>
          <w:szCs w:val="28"/>
        </w:rPr>
        <w:t>Keywords</w:t>
      </w:r>
    </w:p>
    <w:p w14:paraId="6819D97F" w14:textId="1F0ED128" w:rsidR="00AB2BC5" w:rsidRPr="00F90DE8" w:rsidRDefault="00D73739" w:rsidP="00AB2BC5">
      <w:r w:rsidRPr="00F90DE8">
        <w:t>curriculum development</w:t>
      </w:r>
      <w:r>
        <w:t>;</w:t>
      </w:r>
      <w:r w:rsidRPr="00F90DE8">
        <w:t xml:space="preserve"> curriculum mapping</w:t>
      </w:r>
      <w:r>
        <w:t>;</w:t>
      </w:r>
      <w:r w:rsidRPr="00F90DE8">
        <w:t xml:space="preserve"> Framework for Information Literacy in Higher Education</w:t>
      </w:r>
      <w:r>
        <w:t>;</w:t>
      </w:r>
      <w:r w:rsidRPr="00F90DE8">
        <w:t xml:space="preserve"> health sciences libraries</w:t>
      </w:r>
      <w:r>
        <w:t>;</w:t>
      </w:r>
      <w:r w:rsidRPr="00F90DE8">
        <w:t xml:space="preserve"> </w:t>
      </w:r>
      <w:r w:rsidR="00AB2BC5" w:rsidRPr="00F90DE8">
        <w:t>information literacy</w:t>
      </w:r>
      <w:r>
        <w:t>;</w:t>
      </w:r>
      <w:r w:rsidRPr="00F90DE8">
        <w:rPr>
          <w:b/>
          <w:bCs/>
        </w:rPr>
        <w:t xml:space="preserve"> </w:t>
      </w:r>
      <w:r w:rsidR="00AB2BC5" w:rsidRPr="00F90DE8">
        <w:t>medical education</w:t>
      </w:r>
      <w:r>
        <w:t>; US</w:t>
      </w:r>
      <w:r w:rsidR="00AB2BC5" w:rsidRPr="00F90DE8">
        <w:t xml:space="preserve"> </w:t>
      </w:r>
    </w:p>
    <w:p w14:paraId="2449559B" w14:textId="77777777" w:rsidR="00AB2BC5" w:rsidRDefault="00AB2BC5">
      <w:pPr>
        <w:pBdr>
          <w:top w:val="nil"/>
          <w:left w:val="nil"/>
          <w:bottom w:val="nil"/>
          <w:right w:val="nil"/>
          <w:between w:val="nil"/>
        </w:pBdr>
        <w:spacing w:line="240" w:lineRule="auto"/>
        <w:rPr>
          <w:color w:val="000000"/>
        </w:rPr>
      </w:pPr>
    </w:p>
    <w:p w14:paraId="397CF6FE" w14:textId="77777777" w:rsidR="000B5540" w:rsidRDefault="00786624">
      <w:pPr>
        <w:pBdr>
          <w:top w:val="nil"/>
          <w:left w:val="nil"/>
          <w:bottom w:val="nil"/>
          <w:right w:val="nil"/>
          <w:between w:val="nil"/>
        </w:pBdr>
        <w:spacing w:line="240" w:lineRule="auto"/>
        <w:rPr>
          <w:color w:val="000000"/>
        </w:rPr>
      </w:pPr>
      <w:r>
        <w:rPr>
          <w:noProof/>
        </w:rPr>
      </w:r>
      <w:r w:rsidR="00786624">
        <w:rPr>
          <w:noProof/>
        </w:rPr>
        <w:pict w14:anchorId="61C76011">
          <v:rect id="_x0000_i1025" alt="" style="width:451.3pt;height:.05pt;mso-width-percent:0;mso-height-percent:0;mso-width-percent:0;mso-height-percent:0" o:hralign="center" o:hrstd="t" o:hr="t" fillcolor="#a0a0a0" stroked="f"/>
        </w:pict>
      </w:r>
    </w:p>
    <w:p w14:paraId="0A1C4797" w14:textId="77777777" w:rsidR="000B5540" w:rsidRDefault="000B5540">
      <w:pPr>
        <w:pBdr>
          <w:top w:val="nil"/>
          <w:left w:val="nil"/>
          <w:bottom w:val="nil"/>
          <w:right w:val="nil"/>
          <w:between w:val="nil"/>
        </w:pBdr>
        <w:spacing w:line="240" w:lineRule="auto"/>
        <w:rPr>
          <w:color w:val="000000"/>
        </w:rPr>
      </w:pPr>
    </w:p>
    <w:p w14:paraId="48B369DD" w14:textId="77777777" w:rsidR="00AB2BC5" w:rsidRPr="00AB2BC5" w:rsidRDefault="00AB2BC5" w:rsidP="00AB2BC5">
      <w:pPr>
        <w:spacing w:after="200"/>
        <w:rPr>
          <w:b/>
          <w:bCs/>
          <w:sz w:val="28"/>
          <w:szCs w:val="28"/>
        </w:rPr>
      </w:pPr>
      <w:r w:rsidRPr="00F90DE8">
        <w:rPr>
          <w:b/>
          <w:bCs/>
          <w:sz w:val="28"/>
          <w:szCs w:val="28"/>
        </w:rPr>
        <w:t>1. Introduction</w:t>
      </w:r>
    </w:p>
    <w:p w14:paraId="25F122AC" w14:textId="77777777" w:rsidR="00AB2BC5" w:rsidRPr="00F90DE8" w:rsidRDefault="00AB2BC5" w:rsidP="00AB2BC5">
      <w:pPr>
        <w:spacing w:before="80" w:after="120"/>
        <w:rPr>
          <w:sz w:val="24"/>
          <w:szCs w:val="24"/>
        </w:rPr>
      </w:pPr>
      <w:r w:rsidRPr="00F90DE8">
        <w:rPr>
          <w:b/>
          <w:bCs/>
          <w:sz w:val="24"/>
          <w:szCs w:val="24"/>
        </w:rPr>
        <w:t>1.1 Background</w:t>
      </w:r>
    </w:p>
    <w:p w14:paraId="2ECBDCBA" w14:textId="1F8F9BDE" w:rsidR="00AB2BC5" w:rsidRPr="00F90DE8" w:rsidRDefault="00AB2BC5" w:rsidP="00AB2BC5">
      <w:r w:rsidRPr="00F90DE8">
        <w:t xml:space="preserve">Curriculum mapping is an aspect of instructional design which conceptually (and often visually) </w:t>
      </w:r>
      <w:r w:rsidR="009D65CC" w:rsidRPr="00F90DE8">
        <w:t>organi</w:t>
      </w:r>
      <w:r w:rsidR="009D65CC">
        <w:t>s</w:t>
      </w:r>
      <w:r w:rsidR="009D65CC" w:rsidRPr="00F90DE8">
        <w:t xml:space="preserve">es </w:t>
      </w:r>
      <w:r w:rsidRPr="00F90DE8">
        <w:t>and communicates four main components of a curriculum: what is taught, how it is taught, when it is taught, and how it is assessed (Harden, 2001). In practice, curriculum maps are diverse, encompassing various instructional elements from lists of courses and associated learning outcomes to degree requirements. These maps may be visually expressed as tables, word-clouds, or flow-charts (Harden, 2001; Lowe &amp; Stone, 2010; Wang, 2011).</w:t>
      </w:r>
    </w:p>
    <w:p w14:paraId="5DDFA6E8" w14:textId="591E56AB" w:rsidR="00AB2BC5" w:rsidRPr="00F90DE8" w:rsidRDefault="00AB2BC5" w:rsidP="00AB2BC5">
      <w:pPr>
        <w:spacing w:before="240"/>
        <w:rPr>
          <w:b/>
          <w:bCs/>
        </w:rPr>
      </w:pPr>
      <w:r w:rsidRPr="00F90DE8">
        <w:t>The benefits of curriculum mapping are many and may be conceptualised as increasing either transparency or integration of information literacy (IL) curricula. Transparency is fostered among faculty, librarians, and students by demonstrating links between different aspects of the curriculum (Harden, 2001; Kononowicz et al., 2020), as well as illuminating differences between the intended/declared, designed, communicated, taught/enacted, learned, and hidden curricula (Harden, 2001; Sterz et al., 2019). The removal of redundant course content is an additional benefit for students and their librarians. The curriculum mapping process diminishes the possibility that the same content might be offered in similar one-shots across multiple courses and instead structures the delivery of IL instruction across an entire program</w:t>
      </w:r>
      <w:r w:rsidR="00ED2CB6">
        <w:t>me</w:t>
      </w:r>
      <w:r w:rsidRPr="00F90DE8">
        <w:t xml:space="preserve"> of study at points of need, directly integrating with course assignments, learning outcomes, and curricula.</w:t>
      </w:r>
    </w:p>
    <w:p w14:paraId="6812FC3A" w14:textId="77777777" w:rsidR="00AB2BC5" w:rsidRPr="00F90DE8" w:rsidRDefault="00AB2BC5" w:rsidP="00AB2BC5">
      <w:pPr>
        <w:spacing w:before="240" w:line="257" w:lineRule="auto"/>
        <w:rPr>
          <w:rFonts w:eastAsia="Calibri"/>
        </w:rPr>
      </w:pPr>
      <w:r w:rsidRPr="00F90DE8">
        <w:t xml:space="preserve">Perhaps more importantly for academic medical librarians, curriculum mapping is a promising strategy for implementing long-term IL programs. </w:t>
      </w:r>
      <w:r w:rsidRPr="00F90DE8">
        <w:rPr>
          <w:rFonts w:eastAsia="Calibri"/>
        </w:rPr>
        <w:t xml:space="preserve">IL curriculum mapping supports the integration of IL instruction as a core aspect of a university’s curriculum </w:t>
      </w:r>
      <w:r w:rsidRPr="00F90DE8">
        <w:t>(Buchanan et al., 2015; McGuinness, 2007)</w:t>
      </w:r>
      <w:r w:rsidRPr="00F90DE8">
        <w:rPr>
          <w:rFonts w:eastAsia="Calibri"/>
        </w:rPr>
        <w:t>, focused as it is upon aligning instruction with learning outcomes and standards. The creation and implementation of an IL program provides continuity that is not possible when the foundation for IL instruction is dependent on partnerships with individual faculty members.</w:t>
      </w:r>
    </w:p>
    <w:p w14:paraId="3B633721" w14:textId="635B501D" w:rsidR="00AB2BC5" w:rsidRPr="00F90DE8" w:rsidRDefault="00AB2BC5" w:rsidP="00AB2BC5">
      <w:pPr>
        <w:spacing w:before="240" w:line="257" w:lineRule="auto"/>
        <w:rPr>
          <w:rFonts w:eastAsia="Calibri"/>
        </w:rPr>
      </w:pPr>
      <w:r w:rsidRPr="00F90DE8">
        <w:t xml:space="preserve">Curriculum mapping as a professional practice is more common in some disciplines than others, though it remains a niche practice overall, with a remarkable lack of consistency in the reporting of the process itself (Gulbis et al., 2021; Rawle et al., 2017). In a 2017 review including 187 articles, Rawle et al. found a majority of retrieved articles mapping curriculum were from STEM disciplines, with medicine accounting for the greatest percentage within their set (25.3%) (Rawle et al., 2017). Yet more recently, in 2021 Gulbis found very little information on curriculum </w:t>
      </w:r>
      <w:r w:rsidRPr="00F90DE8">
        <w:lastRenderedPageBreak/>
        <w:t>mapping related specifically to competency-based medical education (Gulbis et al., 2021). This is surprising given the necessity of curriculum tracking and reporting required for program</w:t>
      </w:r>
      <w:r w:rsidR="00127FE5">
        <w:t>me</w:t>
      </w:r>
      <w:r w:rsidRPr="00F90DE8">
        <w:t xml:space="preserve"> accreditation as well as the availability of the A</w:t>
      </w:r>
      <w:r w:rsidRPr="00F90DE8">
        <w:rPr>
          <w:rFonts w:eastAsia="Calibri"/>
        </w:rPr>
        <w:t xml:space="preserve">ssociation of American Medical Colleges’ electronic “Curriculum Inventory and Reports” database, which facilitates the identification of learning objectives and experiences </w:t>
      </w:r>
      <w:r w:rsidRPr="00F90DE8">
        <w:rPr>
          <w:szCs w:val="24"/>
        </w:rPr>
        <w:t>(</w:t>
      </w:r>
      <w:r w:rsidRPr="00F90DE8">
        <w:rPr>
          <w:i/>
          <w:iCs/>
          <w:szCs w:val="24"/>
        </w:rPr>
        <w:t>Curriculum Inventory</w:t>
      </w:r>
      <w:r w:rsidRPr="00F90DE8">
        <w:rPr>
          <w:szCs w:val="24"/>
        </w:rPr>
        <w:t>, n.d.)</w:t>
      </w:r>
      <w:r w:rsidRPr="00F90DE8">
        <w:rPr>
          <w:rFonts w:eastAsia="Calibri"/>
        </w:rPr>
        <w:t>.</w:t>
      </w:r>
    </w:p>
    <w:p w14:paraId="195C6162" w14:textId="77777777" w:rsidR="00AB2BC5" w:rsidRDefault="00AB2BC5" w:rsidP="00AB2BC5"/>
    <w:p w14:paraId="6846C2B4" w14:textId="08109C7C" w:rsidR="00AB2BC5" w:rsidRDefault="00AB2BC5" w:rsidP="00AB2BC5">
      <w:r w:rsidRPr="00F90DE8">
        <w:t xml:space="preserve">Across academic librarianship generally, the state of curriculum mapping is much the same. Rawle’s review found Library and Information Sciences (LIS) articles to rank near the top (fifth) of the 22 disciplines represented in their 187 article review, though with a percentage (5.9%) much smaller than medicine (25.3%) (Rawle et al., 2017). In 2015, Buchanan described the literature on curriculum mapping in libraries as “limited” (p.96) and “not plentiful” (p.97) (Buchanan et al., 2015). As of this writing, a cursory search of the Library, Information Science and Technology Abstracts database with the search phrase “curriculum mapping” returns a total of just 50 results. However, interest in curriculum mapping may be accelerating, as CE-granting courses in curriculum mapping are currently being offered by organisations such as the Library Juice Academy </w:t>
      </w:r>
      <w:r w:rsidRPr="00F90DE8">
        <w:rPr>
          <w:szCs w:val="24"/>
        </w:rPr>
        <w:t>(‘Curriculum Mapping Information Literacy for Academic Librarians’, n.d.)</w:t>
      </w:r>
      <w:r w:rsidRPr="00F90DE8">
        <w:t>.</w:t>
      </w:r>
    </w:p>
    <w:p w14:paraId="004FF726" w14:textId="77777777" w:rsidR="00AB2BC5" w:rsidRPr="00F90DE8" w:rsidRDefault="00AB2BC5" w:rsidP="00AB2BC5"/>
    <w:p w14:paraId="7DA86BCC" w14:textId="06DC341B" w:rsidR="00AB2BC5" w:rsidRDefault="00AB2BC5" w:rsidP="00AB2BC5">
      <w:r w:rsidRPr="00F90DE8">
        <w:t xml:space="preserve">The sub-discipline of medical librarianship seems to bear out the trend of a small portion of the literature exploring curriculum mapping with divergent methodologies and reporting. </w:t>
      </w:r>
      <w:r w:rsidR="00711D6D">
        <w:t>Perhaps t</w:t>
      </w:r>
      <w:r w:rsidR="00711D6D" w:rsidRPr="00F90DE8">
        <w:t xml:space="preserve">he </w:t>
      </w:r>
      <w:r w:rsidRPr="00F90DE8">
        <w:t xml:space="preserve">most prominent example comes from the Association of College &amp; Research Libraries Health Sciences Interest Group (ACRL HSIG). In 2011, the group created a mapping document connecting the ACRL IL Standards to the American Association of Colleges of Nursing Essentials </w:t>
      </w:r>
      <w:r w:rsidRPr="00F90DE8">
        <w:rPr>
          <w:rFonts w:eastAsia="Calibri"/>
        </w:rPr>
        <w:t>Series for Baccalaureate and Masters Level Nurses. This w</w:t>
      </w:r>
      <w:r w:rsidRPr="00F90DE8">
        <w:t xml:space="preserve">as part of the foundational work that would lead to that group’s information competency standards for nursing (Phelps, 2013). Two years later in 2013 </w:t>
      </w:r>
      <w:r w:rsidRPr="00666651">
        <w:t xml:space="preserve">Dalton reported no model of medical librarianship </w:t>
      </w:r>
      <w:r w:rsidR="00E94B83">
        <w:t>IL</w:t>
      </w:r>
      <w:r w:rsidRPr="00666651">
        <w:t xml:space="preserve"> instruction existed (Dalton, 2013).</w:t>
      </w:r>
      <w:r w:rsidRPr="005B0B52">
        <w:t xml:space="preserve"> </w:t>
      </w:r>
      <w:r w:rsidRPr="00666651">
        <w:t>Determining whether Dalton’s conclusion was or is still correct would depend on one’s definition of a “model” and whether a curriculum map qualifies</w:t>
      </w:r>
      <w:r w:rsidR="00AB70A7">
        <w:t>—</w:t>
      </w:r>
      <w:r w:rsidRPr="00666651">
        <w:t>an impossible question to answer given the diversity of curriculum-mapping processes and aforementioned inconsistency and incomplete reporting on this practice</w:t>
      </w:r>
      <w:r w:rsidRPr="005B0B52">
        <w:t xml:space="preserve"> </w:t>
      </w:r>
      <w:r w:rsidRPr="00F90DE8">
        <w:t>(Gulbis et al., 2021).</w:t>
      </w:r>
    </w:p>
    <w:p w14:paraId="3DBCF243" w14:textId="77777777" w:rsidR="00AB2BC5" w:rsidRDefault="00AB2BC5" w:rsidP="00AB2BC5"/>
    <w:p w14:paraId="413C6D57" w14:textId="0AB8F1CF" w:rsidR="00AB2BC5" w:rsidRDefault="00AB2BC5" w:rsidP="00AB2BC5">
      <w:r>
        <w:t>Positioning IL as the single focus of curriculum mapping within librarianship reflects the field’s treatment of IL as a universal skill, summative of all aspects of librarianship practice. However, it is important to recognize that definitions of IL, as well as associated values, skills, and concepts, differ across the globe, and “</w:t>
      </w:r>
      <w:r w:rsidRPr="00C7426A">
        <w:t>have been primarily created for use in developed countries and are grounded in Western thought and social structures</w:t>
      </w:r>
      <w:r>
        <w:t>” (ACRL, 2017, p. 5). Though a single acronym is used throughout this paper for IL, as authors we acknowledge that there are myriad interpretations and contexts in which IL may be conceptualised. The frameworks tracked in this review are those discovered in the articles themselves, and represent various continents and institutionalised conceptualisations of IL, from the United States’ ACRL Standards (2000) and Framework (2016), to the United Kingdom’s Society of College, National, and University Libraries (SCONUL) Seven Pillars of Information Literacy (2011) and A New Curriculum for Information Literacy (ANCIL) (Secker &amp; Coonan 2011), to New Zealand’s ANZIL (Bundy, 2004) and Australia’s Research Skill Development (RSD) framework (</w:t>
      </w:r>
      <w:r w:rsidRPr="00027F5E">
        <w:t>Willison, O'Regan, &amp; Kuhn,</w:t>
      </w:r>
      <w:r>
        <w:t xml:space="preserve"> </w:t>
      </w:r>
      <w:r w:rsidRPr="00027F5E">
        <w:t>2018).</w:t>
      </w:r>
    </w:p>
    <w:p w14:paraId="5AE17B3B" w14:textId="77777777" w:rsidR="00AB2BC5" w:rsidRPr="00F90DE8" w:rsidRDefault="00AB2BC5" w:rsidP="00AB2BC5"/>
    <w:p w14:paraId="463B82BD" w14:textId="77777777" w:rsidR="00AB2BC5" w:rsidRPr="00F90DE8" w:rsidRDefault="00AB2BC5" w:rsidP="00AB2BC5">
      <w:pPr>
        <w:spacing w:before="80" w:after="120"/>
        <w:rPr>
          <w:b/>
          <w:bCs/>
          <w:sz w:val="24"/>
          <w:szCs w:val="24"/>
        </w:rPr>
      </w:pPr>
      <w:r w:rsidRPr="00F90DE8">
        <w:rPr>
          <w:b/>
          <w:bCs/>
          <w:sz w:val="24"/>
          <w:szCs w:val="24"/>
        </w:rPr>
        <w:t>1.2 Local context</w:t>
      </w:r>
    </w:p>
    <w:p w14:paraId="74136838" w14:textId="74213749" w:rsidR="00AB2BC5" w:rsidRDefault="00AB2BC5" w:rsidP="00AB2BC5">
      <w:r w:rsidRPr="00F90DE8">
        <w:t xml:space="preserve">The impetus for this research study was primarily practical and borne out of extreme institutional and departmental change. The Library of the School of Medicine and Health Sciences serves the medical school and various health sciences programs as well as the </w:t>
      </w:r>
      <w:r w:rsidR="002D6594">
        <w:t>U</w:t>
      </w:r>
      <w:r w:rsidR="002D6594" w:rsidRPr="00F90DE8">
        <w:t>niversity</w:t>
      </w:r>
      <w:r w:rsidR="002D6594">
        <w:t xml:space="preserve"> of North Dakota</w:t>
      </w:r>
      <w:r w:rsidR="002D6594" w:rsidRPr="00F90DE8">
        <w:t xml:space="preserve">’s </w:t>
      </w:r>
      <w:r w:rsidRPr="00F90DE8">
        <w:t xml:space="preserve">College of Nursing and Professional Disciplines for a total population of students and </w:t>
      </w:r>
      <w:r w:rsidRPr="00F90DE8">
        <w:lastRenderedPageBreak/>
        <w:t xml:space="preserve">faculty of around 2,000. The library is not directly affiliated with the main campus library, and is within the School of Medicine and Health Sciences. Within the last seven years the School of Medicine moved to a new building, and the library </w:t>
      </w:r>
      <w:r w:rsidR="00383269">
        <w:t xml:space="preserve">was </w:t>
      </w:r>
      <w:r w:rsidRPr="00F90DE8">
        <w:t>converted from a large physical location with print collections and librarians at a central reference desk to a minimal physical space—a single information desk, with all collections provided electronically and librarians distributed across academic department offices in an embedded model. During the same time period, the library also saw a significant turnover in all staff positions, with seven of 11 current staff joining within the last three years. Further, five of the six instructional librarians are still early in their career or new to medical librarianship.</w:t>
      </w:r>
    </w:p>
    <w:p w14:paraId="43BDBC17" w14:textId="77777777" w:rsidR="00AB2BC5" w:rsidRPr="00F90DE8" w:rsidRDefault="00AB2BC5" w:rsidP="00AB2BC5"/>
    <w:p w14:paraId="27922B33" w14:textId="3952E85A" w:rsidR="00AB2BC5" w:rsidRDefault="00AB2BC5" w:rsidP="00AB2BC5">
      <w:r w:rsidRPr="00F90DE8">
        <w:t xml:space="preserve">With a majority of staff being new to the University of North Dakota, as well as medical librarianship, and few policies existing within the department to guide instruction, this scoping review was undertaken to guide the development of internal curriculum mapping policies and documentation. Of particular interest was the idea of distilling </w:t>
      </w:r>
      <w:r w:rsidR="0018656D">
        <w:t>IL</w:t>
      </w:r>
      <w:r w:rsidRPr="00F90DE8">
        <w:t xml:space="preserve"> domains, activities, and learning outcomes to their core concepts and skills in order to facilitate mapping of librarian-developed instruction to diverse disciplines’ curricula and accreditation documentation. Such modular documentation would also enable librarians to more easily compare and share learning outcomes and instructional tools, even while liaising with diverse disciplines within Medicine, Biochemistry, and Occupational Therapy.</w:t>
      </w:r>
    </w:p>
    <w:p w14:paraId="642EDAC6" w14:textId="77777777" w:rsidR="00AB2BC5" w:rsidRPr="00F90DE8" w:rsidRDefault="00AB2BC5" w:rsidP="00AB2BC5"/>
    <w:p w14:paraId="2D900AEF" w14:textId="3CA88FD9" w:rsidR="00AB2BC5" w:rsidRDefault="00AB2BC5" w:rsidP="00AB2BC5">
      <w:r w:rsidRPr="00F90DE8">
        <w:t xml:space="preserve">The scoping review methodology was selected to explore and identify themes as well as gaps within current practice </w:t>
      </w:r>
      <w:r w:rsidRPr="00F90DE8">
        <w:rPr>
          <w:szCs w:val="24"/>
        </w:rPr>
        <w:t>(Arksey &amp; O’Malley, 2005; Peters et al., 2015)</w:t>
      </w:r>
      <w:r w:rsidRPr="00F90DE8">
        <w:t>. The scope of this review is intentionally broad to reflect the authors’ needs: we were interested in all academic medical library research that connected frameworks or standards with concepts, skills, or learning outcomes. We also knew from preliminary searching that the concept of curriculum mapping is far from standardised within Library and Information Science literature</w:t>
      </w:r>
      <w:r w:rsidR="00AB69A2">
        <w:t>—</w:t>
      </w:r>
      <w:r w:rsidRPr="00F90DE8">
        <w:t>with authors pulling terminologies and frameworks from diverse fields and epistemologies to discuss their own efforts in this arena—increasing certainty that the broad focus of a scoping review was appropriate.</w:t>
      </w:r>
    </w:p>
    <w:p w14:paraId="2FE1E90F" w14:textId="77777777" w:rsidR="00AB2BC5" w:rsidRPr="00F90DE8" w:rsidRDefault="00AB2BC5" w:rsidP="00AB2BC5"/>
    <w:p w14:paraId="0A0050A3" w14:textId="08B6A5DE" w:rsidR="00AB2BC5" w:rsidRDefault="00AB2BC5" w:rsidP="00AB2BC5">
      <w:r w:rsidRPr="00F90DE8">
        <w:t>The guiding questions and extraction instrument for this research were developed from IL activities, learning outcomes, and themes identified within existing instructional materials created previously by department instructional librarians (authors Olson and Denis).</w:t>
      </w:r>
    </w:p>
    <w:p w14:paraId="6205D8B7" w14:textId="77777777" w:rsidR="00AB2BC5" w:rsidRPr="00F90DE8" w:rsidRDefault="00AB2BC5" w:rsidP="00AB2BC5"/>
    <w:p w14:paraId="49224093" w14:textId="77777777" w:rsidR="00AB2BC5" w:rsidRPr="00AB2BC5" w:rsidRDefault="00AB2BC5" w:rsidP="00AB2BC5">
      <w:pPr>
        <w:spacing w:after="200"/>
        <w:rPr>
          <w:b/>
          <w:bCs/>
          <w:sz w:val="28"/>
          <w:szCs w:val="28"/>
        </w:rPr>
      </w:pPr>
      <w:r w:rsidRPr="00AB2BC5">
        <w:rPr>
          <w:b/>
          <w:bCs/>
          <w:sz w:val="28"/>
          <w:szCs w:val="28"/>
        </w:rPr>
        <w:t xml:space="preserve">2. Methods </w:t>
      </w:r>
    </w:p>
    <w:p w14:paraId="42142C8E" w14:textId="1557BE9F" w:rsidR="00AB2BC5" w:rsidRDefault="00AB2BC5" w:rsidP="00AB2BC5">
      <w:pPr>
        <w:rPr>
          <w:rFonts w:eastAsiaTheme="minorEastAsia"/>
        </w:rPr>
      </w:pPr>
      <w:r w:rsidRPr="00F90DE8">
        <w:rPr>
          <w:rFonts w:eastAsiaTheme="minorEastAsia"/>
        </w:rPr>
        <w:t>The following research questions guided our review:</w:t>
      </w:r>
    </w:p>
    <w:p w14:paraId="6238A0F1" w14:textId="77777777" w:rsidR="00AB2BC5" w:rsidRPr="00F90DE8" w:rsidRDefault="00AB2BC5" w:rsidP="00AB2BC5">
      <w:pPr>
        <w:rPr>
          <w:rFonts w:eastAsiaTheme="minorEastAsia"/>
        </w:rPr>
      </w:pPr>
    </w:p>
    <w:p w14:paraId="1AFE25AB" w14:textId="77777777" w:rsidR="00AB2BC5" w:rsidRPr="00F90DE8" w:rsidRDefault="00AB2BC5" w:rsidP="00AB2BC5">
      <w:pPr>
        <w:pStyle w:val="ListParagraph"/>
        <w:numPr>
          <w:ilvl w:val="0"/>
          <w:numId w:val="13"/>
        </w:numPr>
        <w:rPr>
          <w:rFonts w:ascii="Arial" w:eastAsiaTheme="minorEastAsia" w:hAnsi="Arial" w:cs="Arial"/>
        </w:rPr>
      </w:pPr>
      <w:r w:rsidRPr="00F90DE8">
        <w:rPr>
          <w:rFonts w:ascii="Arial" w:eastAsiaTheme="minorEastAsia" w:hAnsi="Arial" w:cs="Arial"/>
          <w:b/>
          <w:bCs/>
        </w:rPr>
        <w:t xml:space="preserve">RQ 1: Context: </w:t>
      </w:r>
      <w:r w:rsidRPr="00F90DE8">
        <w:rPr>
          <w:rFonts w:ascii="Arial" w:eastAsiaTheme="minorEastAsia" w:hAnsi="Arial" w:cs="Arial"/>
        </w:rPr>
        <w:t>What is the context within which librarians conceptualise IL curricula? What type of research supports IL curriculum mapping? What are the attributes of learners who are party to mapped IL curricula?</w:t>
      </w:r>
    </w:p>
    <w:p w14:paraId="22F7E20C" w14:textId="77777777" w:rsidR="00AB2BC5" w:rsidRPr="00F90DE8" w:rsidRDefault="00AB2BC5" w:rsidP="00AB2BC5">
      <w:pPr>
        <w:pStyle w:val="ListParagraph"/>
        <w:numPr>
          <w:ilvl w:val="0"/>
          <w:numId w:val="13"/>
        </w:numPr>
        <w:rPr>
          <w:rFonts w:ascii="Arial" w:eastAsiaTheme="minorEastAsia" w:hAnsi="Arial" w:cs="Arial"/>
        </w:rPr>
      </w:pPr>
      <w:r w:rsidRPr="00F90DE8">
        <w:rPr>
          <w:rFonts w:ascii="Arial" w:eastAsiaTheme="minorEastAsia" w:hAnsi="Arial" w:cs="Arial"/>
          <w:b/>
          <w:bCs/>
        </w:rPr>
        <w:t xml:space="preserve">RQ 3: Frameworks: </w:t>
      </w:r>
      <w:r w:rsidRPr="00F90DE8">
        <w:rPr>
          <w:rFonts w:ascii="Arial" w:eastAsiaTheme="minorEastAsia" w:hAnsi="Arial" w:cs="Arial"/>
        </w:rPr>
        <w:t>What IL frameworks do librarians use to map IL curricula? What non-LIS disciplinary or professional association frameworks are included?</w:t>
      </w:r>
    </w:p>
    <w:p w14:paraId="1AA7A06E" w14:textId="77777777" w:rsidR="00AB2BC5" w:rsidRPr="00F90DE8" w:rsidRDefault="00AB2BC5" w:rsidP="003846CA">
      <w:pPr>
        <w:pStyle w:val="ListParagraph"/>
        <w:numPr>
          <w:ilvl w:val="0"/>
          <w:numId w:val="13"/>
        </w:numPr>
        <w:spacing w:after="240"/>
        <w:rPr>
          <w:rFonts w:ascii="Arial" w:hAnsi="Arial" w:cs="Arial"/>
        </w:rPr>
      </w:pPr>
      <w:r w:rsidRPr="00F90DE8">
        <w:rPr>
          <w:rFonts w:ascii="Arial" w:eastAsiaTheme="minorEastAsia" w:hAnsi="Arial" w:cs="Arial"/>
          <w:b/>
          <w:bCs/>
        </w:rPr>
        <w:t xml:space="preserve">RQ 5: IL Concepts and Skills: </w:t>
      </w:r>
      <w:r w:rsidRPr="00F90DE8">
        <w:rPr>
          <w:rFonts w:ascii="Arial" w:eastAsiaTheme="minorEastAsia" w:hAnsi="Arial" w:cs="Arial"/>
        </w:rPr>
        <w:t>Which IL skills and concepts were included in curriculum mapping by librarians, and how were they delineated?</w:t>
      </w:r>
    </w:p>
    <w:p w14:paraId="2BC26D09" w14:textId="29A358CA" w:rsidR="00AB2BC5" w:rsidRDefault="00AB2BC5" w:rsidP="00AB2BC5">
      <w:pPr>
        <w:rPr>
          <w:rFonts w:eastAsiaTheme="minorEastAsia"/>
        </w:rPr>
      </w:pPr>
      <w:r w:rsidRPr="00F90DE8">
        <w:rPr>
          <w:rFonts w:eastAsiaTheme="minorEastAsia"/>
        </w:rPr>
        <w:t xml:space="preserve">In our review, “learner” refers to any student, faculty member, clinician, or librarian who is a recipient of </w:t>
      </w:r>
      <w:r w:rsidR="00B749FA">
        <w:rPr>
          <w:rFonts w:eastAsiaTheme="minorEastAsia"/>
        </w:rPr>
        <w:t>IL</w:t>
      </w:r>
      <w:r w:rsidRPr="00F90DE8">
        <w:rPr>
          <w:rFonts w:eastAsiaTheme="minorEastAsia"/>
        </w:rPr>
        <w:t xml:space="preserve"> instruction.</w:t>
      </w:r>
    </w:p>
    <w:p w14:paraId="105B4404" w14:textId="77777777" w:rsidR="00AB2BC5" w:rsidRPr="00F90DE8" w:rsidRDefault="00AB2BC5" w:rsidP="00AB2BC5">
      <w:pPr>
        <w:rPr>
          <w:rFonts w:eastAsiaTheme="minorEastAsia"/>
        </w:rPr>
      </w:pPr>
    </w:p>
    <w:p w14:paraId="5CDDBA46" w14:textId="77777777" w:rsidR="00AB2BC5" w:rsidRPr="00AB2BC5" w:rsidRDefault="00AB2BC5" w:rsidP="003846CA">
      <w:pPr>
        <w:keepNext/>
        <w:spacing w:before="80" w:after="120"/>
        <w:rPr>
          <w:b/>
          <w:bCs/>
          <w:sz w:val="24"/>
          <w:szCs w:val="24"/>
        </w:rPr>
      </w:pPr>
      <w:r w:rsidRPr="00AB2BC5">
        <w:rPr>
          <w:b/>
          <w:bCs/>
          <w:sz w:val="24"/>
          <w:szCs w:val="24"/>
        </w:rPr>
        <w:lastRenderedPageBreak/>
        <w:t>2.1 Data sources and literature searching</w:t>
      </w:r>
    </w:p>
    <w:p w14:paraId="413FFEA0" w14:textId="7A9218DE" w:rsidR="00AB2BC5" w:rsidRDefault="00AB2BC5" w:rsidP="003846CA">
      <w:pPr>
        <w:keepNext/>
        <w:rPr>
          <w:rFonts w:eastAsiaTheme="minorEastAsia"/>
        </w:rPr>
      </w:pPr>
      <w:r w:rsidRPr="00F90DE8">
        <w:rPr>
          <w:rFonts w:eastAsiaTheme="minorEastAsia"/>
        </w:rPr>
        <w:t>We searched five bibliographic databases for articles: Academic Search Premier (EBSCO), CINAHL (EBSCO), Eric (EBSCO), Embase (Elsevier), and LISTA (EBSCO).</w:t>
      </w:r>
      <w:r>
        <w:rPr>
          <w:rFonts w:eastAsiaTheme="minorEastAsia"/>
        </w:rPr>
        <w:t xml:space="preserve"> PubMed was initially included in our search, but pilot testing revealed a remarkable amount of “noise” (irrelevant or inappropriate articles) in the results of the searches, and so PubMed as a database was dropped and replaced by Embase. Other databased were chosen for </w:t>
      </w:r>
      <w:r w:rsidR="00730D2A">
        <w:rPr>
          <w:rFonts w:eastAsiaTheme="minorEastAsia"/>
        </w:rPr>
        <w:t xml:space="preserve">either </w:t>
      </w:r>
      <w:r>
        <w:rPr>
          <w:rFonts w:eastAsiaTheme="minorEastAsia"/>
        </w:rPr>
        <w:t>their health sciences, interdisciplinary, or Librarianship focus.</w:t>
      </w:r>
    </w:p>
    <w:p w14:paraId="5EB06A8B" w14:textId="77777777" w:rsidR="00AB2BC5" w:rsidRPr="00F90DE8" w:rsidRDefault="00AB2BC5" w:rsidP="00AB2BC5">
      <w:pPr>
        <w:rPr>
          <w:rFonts w:eastAsiaTheme="minorEastAsia"/>
        </w:rPr>
      </w:pPr>
    </w:p>
    <w:p w14:paraId="4F1808E1" w14:textId="77777777" w:rsidR="00AB2BC5" w:rsidRPr="00AB2BC5" w:rsidRDefault="00AB2BC5" w:rsidP="00AB2BC5">
      <w:pPr>
        <w:spacing w:before="80" w:after="120"/>
        <w:rPr>
          <w:b/>
          <w:bCs/>
          <w:sz w:val="24"/>
          <w:szCs w:val="24"/>
        </w:rPr>
      </w:pPr>
      <w:r w:rsidRPr="00AB2BC5">
        <w:rPr>
          <w:b/>
          <w:bCs/>
          <w:sz w:val="24"/>
          <w:szCs w:val="24"/>
        </w:rPr>
        <w:t>2.2 Search strategy</w:t>
      </w:r>
    </w:p>
    <w:p w14:paraId="681987E3" w14:textId="51D0F488" w:rsidR="00AB2BC5" w:rsidRDefault="00AB2BC5" w:rsidP="00AB2BC5">
      <w:pPr>
        <w:rPr>
          <w:rFonts w:eastAsiaTheme="minorEastAsia"/>
        </w:rPr>
      </w:pPr>
      <w:r w:rsidRPr="00F90DE8">
        <w:rPr>
          <w:rFonts w:eastAsiaTheme="minorEastAsia"/>
        </w:rPr>
        <w:t xml:space="preserve">Our search terms were developed based on our research questions. In preliminary searches we discovered wide variation in terminology used to describe curriculum mapping and designed our search phrases to reflect this. The terms centred on five main concepts: curriculum mapping, </w:t>
      </w:r>
      <w:r w:rsidR="00730D2A">
        <w:rPr>
          <w:rFonts w:eastAsiaTheme="minorEastAsia"/>
        </w:rPr>
        <w:t>IL</w:t>
      </w:r>
      <w:r w:rsidRPr="00F90DE8">
        <w:rPr>
          <w:rFonts w:eastAsiaTheme="minorEastAsia"/>
        </w:rPr>
        <w:t>, academic libraries, health sciences disciplines, and universities.</w:t>
      </w:r>
    </w:p>
    <w:p w14:paraId="77FB4BB9" w14:textId="77777777" w:rsidR="00E2118F" w:rsidRPr="00F90DE8" w:rsidRDefault="00E2118F" w:rsidP="00AB2BC5">
      <w:pPr>
        <w:rPr>
          <w:rFonts w:ascii="Calibri" w:eastAsia="Calibri" w:hAnsi="Calibri" w:cs="Calibri"/>
          <w:highlight w:val="yellow"/>
        </w:rPr>
      </w:pPr>
    </w:p>
    <w:p w14:paraId="367EFBBD" w14:textId="30F43EDF" w:rsidR="00AB2BC5" w:rsidRDefault="00AB2BC5" w:rsidP="00AB2BC5">
      <w:pPr>
        <w:rPr>
          <w:rFonts w:eastAsiaTheme="minorEastAsia"/>
        </w:rPr>
      </w:pPr>
      <w:r w:rsidRPr="00F90DE8">
        <w:rPr>
          <w:rFonts w:eastAsiaTheme="minorEastAsia"/>
        </w:rPr>
        <w:t>We balanced the broad scope of our search terms by limiting our search to articles published after 2010, and our search strategies are described in detail in supplemental Appendix A.</w:t>
      </w:r>
    </w:p>
    <w:p w14:paraId="251CCBD4" w14:textId="77777777" w:rsidR="00AB2BC5" w:rsidRPr="00F90DE8" w:rsidRDefault="00AB2BC5" w:rsidP="00AB2BC5">
      <w:pPr>
        <w:rPr>
          <w:rFonts w:eastAsiaTheme="minorEastAsia"/>
        </w:rPr>
      </w:pPr>
    </w:p>
    <w:p w14:paraId="408C4732" w14:textId="77777777" w:rsidR="00AB2BC5" w:rsidRPr="00AB2BC5" w:rsidRDefault="00AB2BC5" w:rsidP="00AB2BC5">
      <w:pPr>
        <w:spacing w:before="80" w:after="120"/>
        <w:rPr>
          <w:b/>
          <w:bCs/>
          <w:sz w:val="24"/>
          <w:szCs w:val="24"/>
        </w:rPr>
      </w:pPr>
      <w:r w:rsidRPr="00AB2BC5">
        <w:rPr>
          <w:b/>
          <w:bCs/>
          <w:sz w:val="24"/>
          <w:szCs w:val="24"/>
        </w:rPr>
        <w:t>2.3 Citation management</w:t>
      </w:r>
    </w:p>
    <w:p w14:paraId="60941238" w14:textId="0A4CAD36" w:rsidR="00AB2BC5" w:rsidRDefault="00AB2BC5" w:rsidP="00AB2BC5">
      <w:pPr>
        <w:spacing w:line="257" w:lineRule="auto"/>
        <w:rPr>
          <w:rFonts w:eastAsia="Calibri"/>
        </w:rPr>
      </w:pPr>
      <w:r w:rsidRPr="00F90DE8">
        <w:rPr>
          <w:rFonts w:eastAsia="Calibri"/>
        </w:rPr>
        <w:t xml:space="preserve">We utilised Microsoft (MS) Excel to store data, de-duplicate citations, and manipulate article sets for export. We used Zotero, an </w:t>
      </w:r>
      <w:r w:rsidR="003D7D60" w:rsidRPr="00F90DE8">
        <w:rPr>
          <w:rFonts w:eastAsia="Calibri"/>
        </w:rPr>
        <w:t>open-source</w:t>
      </w:r>
      <w:r w:rsidRPr="00F90DE8">
        <w:rPr>
          <w:rFonts w:eastAsia="Calibri"/>
        </w:rPr>
        <w:t xml:space="preserve"> citation management tool, to manage and format bibliographic information and to double-check the deduplicating of our initial article result set.</w:t>
      </w:r>
    </w:p>
    <w:p w14:paraId="6F6C249D" w14:textId="77777777" w:rsidR="00AB2BC5" w:rsidRPr="00F90DE8" w:rsidRDefault="00AB2BC5" w:rsidP="00AB2BC5">
      <w:pPr>
        <w:spacing w:line="257" w:lineRule="auto"/>
        <w:rPr>
          <w:rFonts w:eastAsia="Calibri"/>
        </w:rPr>
      </w:pPr>
    </w:p>
    <w:p w14:paraId="2B8BCC01" w14:textId="77777777" w:rsidR="00AB2BC5" w:rsidRPr="00AB2BC5" w:rsidRDefault="00AB2BC5" w:rsidP="00AB2BC5">
      <w:pPr>
        <w:spacing w:before="80" w:after="120"/>
        <w:rPr>
          <w:b/>
          <w:bCs/>
          <w:sz w:val="24"/>
          <w:szCs w:val="24"/>
        </w:rPr>
      </w:pPr>
      <w:r w:rsidRPr="00AB2BC5">
        <w:rPr>
          <w:b/>
          <w:bCs/>
          <w:sz w:val="24"/>
          <w:szCs w:val="24"/>
        </w:rPr>
        <w:t>2.4 Inclusion and exclusion criteria</w:t>
      </w:r>
    </w:p>
    <w:p w14:paraId="2D1E1E27" w14:textId="22C5947F" w:rsidR="00AB2BC5" w:rsidRDefault="00AB2BC5" w:rsidP="00AB2BC5">
      <w:pPr>
        <w:rPr>
          <w:rFonts w:eastAsiaTheme="minorEastAsia"/>
        </w:rPr>
      </w:pPr>
      <w:r w:rsidRPr="00F90DE8">
        <w:rPr>
          <w:rFonts w:eastAsiaTheme="minorEastAsia"/>
        </w:rPr>
        <w:t>For inclusion in the review, authors identified the following criteria:</w:t>
      </w:r>
    </w:p>
    <w:p w14:paraId="10DE908D" w14:textId="77777777" w:rsidR="00AB2BC5" w:rsidRPr="00F90DE8" w:rsidRDefault="00AB2BC5" w:rsidP="00AB2BC5">
      <w:pPr>
        <w:rPr>
          <w:rFonts w:eastAsiaTheme="minorEastAsia"/>
          <w:b/>
          <w:bCs/>
        </w:rPr>
      </w:pPr>
    </w:p>
    <w:p w14:paraId="77778532" w14:textId="77777777" w:rsidR="00AB2BC5" w:rsidRPr="00F90DE8" w:rsidRDefault="00AB2BC5" w:rsidP="00AB2BC5">
      <w:pPr>
        <w:pStyle w:val="ListParagraph"/>
        <w:numPr>
          <w:ilvl w:val="0"/>
          <w:numId w:val="3"/>
        </w:numPr>
        <w:rPr>
          <w:rFonts w:ascii="Arial" w:eastAsiaTheme="minorEastAsia" w:hAnsi="Arial" w:cs="Arial"/>
        </w:rPr>
      </w:pPr>
      <w:r w:rsidRPr="00F90DE8">
        <w:rPr>
          <w:rFonts w:ascii="Arial" w:eastAsiaTheme="minorEastAsia" w:hAnsi="Arial" w:cs="Arial"/>
        </w:rPr>
        <w:t>Authorship or representation of a librarian’s perspective</w:t>
      </w:r>
    </w:p>
    <w:p w14:paraId="3F3DD6DC" w14:textId="75B61C2C" w:rsidR="00AB2BC5" w:rsidRPr="00F90DE8" w:rsidRDefault="00AB2BC5" w:rsidP="003846CA">
      <w:pPr>
        <w:pStyle w:val="ListParagraph"/>
        <w:numPr>
          <w:ilvl w:val="0"/>
          <w:numId w:val="3"/>
        </w:numPr>
        <w:spacing w:after="240"/>
        <w:rPr>
          <w:rFonts w:ascii="Arial" w:eastAsiaTheme="minorEastAsia" w:hAnsi="Arial" w:cs="Arial"/>
        </w:rPr>
      </w:pPr>
      <w:r w:rsidRPr="00F90DE8">
        <w:rPr>
          <w:rFonts w:ascii="Arial" w:hAnsi="Arial" w:cs="Arial"/>
        </w:rPr>
        <w:t xml:space="preserve">Primary focus on </w:t>
      </w:r>
      <w:r w:rsidR="00BA108B">
        <w:rPr>
          <w:rFonts w:ascii="Arial" w:hAnsi="Arial" w:cs="Arial"/>
        </w:rPr>
        <w:t>IL</w:t>
      </w:r>
      <w:r w:rsidRPr="00F90DE8">
        <w:rPr>
          <w:rFonts w:ascii="Arial" w:hAnsi="Arial" w:cs="Arial"/>
        </w:rPr>
        <w:t xml:space="preserve"> curriculum or mapping of </w:t>
      </w:r>
      <w:r w:rsidR="00E2118F">
        <w:rPr>
          <w:rFonts w:ascii="Arial" w:hAnsi="Arial" w:cs="Arial"/>
        </w:rPr>
        <w:t>IL</w:t>
      </w:r>
      <w:r w:rsidRPr="00F90DE8">
        <w:rPr>
          <w:rFonts w:ascii="Arial" w:hAnsi="Arial" w:cs="Arial"/>
        </w:rPr>
        <w:t xml:space="preserve"> competencies within a health sciences context</w:t>
      </w:r>
    </w:p>
    <w:p w14:paraId="42688DF6" w14:textId="455C1E7B" w:rsidR="00AB2BC5" w:rsidRDefault="00AB2BC5" w:rsidP="00AB2BC5">
      <w:pPr>
        <w:rPr>
          <w:rFonts w:eastAsiaTheme="minorEastAsia"/>
        </w:rPr>
      </w:pPr>
      <w:r w:rsidRPr="00F90DE8">
        <w:rPr>
          <w:rFonts w:eastAsiaTheme="minorEastAsia"/>
        </w:rPr>
        <w:t>Articles that reviewed prior publications, were written in a language other than English, focused on public or consumer health literacy, or were published prior to 2010 were excluded.</w:t>
      </w:r>
    </w:p>
    <w:p w14:paraId="7A0A236E" w14:textId="77777777" w:rsidR="00AB2BC5" w:rsidRPr="00F90DE8" w:rsidRDefault="00AB2BC5" w:rsidP="00AB2BC5">
      <w:pPr>
        <w:rPr>
          <w:rFonts w:eastAsiaTheme="minorEastAsia"/>
          <w:b/>
          <w:bCs/>
        </w:rPr>
      </w:pPr>
    </w:p>
    <w:p w14:paraId="401B009E" w14:textId="77777777" w:rsidR="00AB2BC5" w:rsidRPr="00AB2BC5" w:rsidRDefault="00AB2BC5" w:rsidP="00AB2BC5">
      <w:pPr>
        <w:spacing w:before="80" w:after="120"/>
        <w:rPr>
          <w:b/>
          <w:bCs/>
          <w:sz w:val="24"/>
          <w:szCs w:val="24"/>
        </w:rPr>
      </w:pPr>
      <w:r w:rsidRPr="00AB2BC5">
        <w:rPr>
          <w:b/>
          <w:bCs/>
          <w:sz w:val="24"/>
          <w:szCs w:val="24"/>
        </w:rPr>
        <w:t>2.5 Study selection and screening</w:t>
      </w:r>
    </w:p>
    <w:p w14:paraId="66F3769A" w14:textId="6663B559" w:rsidR="00AB2BC5" w:rsidRDefault="00AB2BC5" w:rsidP="00AB2BC5">
      <w:pPr>
        <w:rPr>
          <w:rFonts w:eastAsia="Calibri"/>
        </w:rPr>
      </w:pPr>
      <w:r w:rsidRPr="00F90DE8">
        <w:rPr>
          <w:rFonts w:eastAsiaTheme="minorEastAsia"/>
        </w:rPr>
        <w:t xml:space="preserve">A two-step process was used for article review: article titles and abstracts were considered first using the aforementioned criteria, and only those retained after this first step went through a full article review. </w:t>
      </w:r>
      <w:r>
        <w:rPr>
          <w:rFonts w:eastAsiaTheme="minorEastAsia"/>
        </w:rPr>
        <w:t>The initial title and abstract level screening was completed by two authors (Olson and Yarborough), who reviewed each article independently and then resolved disagreements via</w:t>
      </w:r>
      <w:r w:rsidRPr="00F90DE8">
        <w:rPr>
          <w:rFonts w:eastAsia="Calibri"/>
        </w:rPr>
        <w:t xml:space="preserve"> discussion and consensus. Two hundred articles were identified for full-text review. Full articles were obtained, and each was </w:t>
      </w:r>
      <w:r>
        <w:rPr>
          <w:rFonts w:eastAsia="Calibri"/>
        </w:rPr>
        <w:t xml:space="preserve">again </w:t>
      </w:r>
      <w:r w:rsidRPr="00F90DE8">
        <w:rPr>
          <w:rFonts w:eastAsia="Calibri"/>
        </w:rPr>
        <w:t xml:space="preserve">independently </w:t>
      </w:r>
      <w:r>
        <w:rPr>
          <w:rFonts w:eastAsia="Calibri"/>
        </w:rPr>
        <w:t xml:space="preserve">(though not anonymously) </w:t>
      </w:r>
      <w:r w:rsidRPr="00F90DE8">
        <w:rPr>
          <w:rFonts w:eastAsia="Calibri"/>
        </w:rPr>
        <w:t>reviewed by a pair of authors</w:t>
      </w:r>
      <w:r>
        <w:rPr>
          <w:rFonts w:eastAsia="Calibri"/>
        </w:rPr>
        <w:t xml:space="preserve"> (Olson, Yarborough, Bates, Barnett, Denis, and Westall)</w:t>
      </w:r>
      <w:r w:rsidRPr="00F90DE8">
        <w:rPr>
          <w:rFonts w:eastAsia="Calibri"/>
        </w:rPr>
        <w:t xml:space="preserve">, this time with the full text of the article under consideration for inclusion. Disagreements </w:t>
      </w:r>
      <w:r w:rsidR="009F1AFB">
        <w:rPr>
          <w:rFonts w:eastAsia="Calibri"/>
        </w:rPr>
        <w:t>regarding</w:t>
      </w:r>
      <w:r w:rsidR="009F1AFB" w:rsidRPr="00F90DE8">
        <w:rPr>
          <w:rFonts w:eastAsia="Calibri"/>
        </w:rPr>
        <w:t xml:space="preserve"> </w:t>
      </w:r>
      <w:r w:rsidRPr="00F90DE8">
        <w:rPr>
          <w:rFonts w:eastAsia="Calibri"/>
        </w:rPr>
        <w:t>the full article screening were again resolved via discussion and consensus.</w:t>
      </w:r>
    </w:p>
    <w:p w14:paraId="3F70CA6B" w14:textId="77777777" w:rsidR="00AB2BC5" w:rsidRPr="00F90DE8" w:rsidRDefault="00AB2BC5" w:rsidP="00AB2BC5">
      <w:pPr>
        <w:rPr>
          <w:rFonts w:eastAsia="Calibri"/>
        </w:rPr>
      </w:pPr>
    </w:p>
    <w:p w14:paraId="2519DD8B" w14:textId="77777777" w:rsidR="00AB2BC5" w:rsidRPr="00AB2BC5" w:rsidRDefault="00AB2BC5" w:rsidP="003846CA">
      <w:pPr>
        <w:keepNext/>
        <w:spacing w:before="80" w:after="120"/>
        <w:rPr>
          <w:b/>
          <w:bCs/>
          <w:sz w:val="24"/>
          <w:szCs w:val="24"/>
        </w:rPr>
      </w:pPr>
      <w:r w:rsidRPr="00AB2BC5">
        <w:rPr>
          <w:b/>
          <w:bCs/>
          <w:sz w:val="24"/>
          <w:szCs w:val="24"/>
        </w:rPr>
        <w:lastRenderedPageBreak/>
        <w:t>2.6 Data extraction</w:t>
      </w:r>
    </w:p>
    <w:p w14:paraId="6C54F10A" w14:textId="65123606" w:rsidR="00AB2BC5" w:rsidRDefault="00AB2BC5" w:rsidP="003846CA">
      <w:pPr>
        <w:keepNext/>
        <w:rPr>
          <w:rFonts w:eastAsiaTheme="minorEastAsia"/>
        </w:rPr>
      </w:pPr>
      <w:r w:rsidRPr="00F90DE8">
        <w:rPr>
          <w:rFonts w:eastAsiaTheme="minorEastAsia"/>
        </w:rPr>
        <w:t>We built our extraction instrument in a shared MS Excel spreadsheet which included codes grouped by theme. The codes in our instrument were developed as a team based on our initial research questions:</w:t>
      </w:r>
    </w:p>
    <w:p w14:paraId="06AF6524" w14:textId="77777777" w:rsidR="00AB2BC5" w:rsidRPr="00F90DE8" w:rsidRDefault="00AB2BC5" w:rsidP="00AB2BC5">
      <w:pPr>
        <w:rPr>
          <w:rFonts w:eastAsiaTheme="minorEastAsia"/>
        </w:rPr>
      </w:pPr>
    </w:p>
    <w:p w14:paraId="11AFFAC8" w14:textId="77777777" w:rsidR="00AB2BC5" w:rsidRPr="00F90DE8" w:rsidRDefault="00AB2BC5" w:rsidP="00AB2BC5">
      <w:pPr>
        <w:pStyle w:val="ListParagraph"/>
        <w:numPr>
          <w:ilvl w:val="0"/>
          <w:numId w:val="13"/>
        </w:numPr>
        <w:rPr>
          <w:rFonts w:ascii="Arial" w:eastAsiaTheme="minorEastAsia" w:hAnsi="Arial" w:cs="Arial"/>
        </w:rPr>
      </w:pPr>
      <w:r w:rsidRPr="00F90DE8">
        <w:rPr>
          <w:rFonts w:ascii="Arial" w:eastAsiaTheme="minorEastAsia" w:hAnsi="Arial" w:cs="Arial"/>
          <w:b/>
          <w:bCs/>
        </w:rPr>
        <w:t>RQ 1: Context</w:t>
      </w:r>
    </w:p>
    <w:p w14:paraId="27347EBC" w14:textId="77777777" w:rsidR="00AB2BC5" w:rsidRPr="00F90DE8" w:rsidRDefault="00AB2BC5" w:rsidP="00AB2BC5">
      <w:pPr>
        <w:pStyle w:val="ListParagraph"/>
        <w:numPr>
          <w:ilvl w:val="1"/>
          <w:numId w:val="13"/>
        </w:numPr>
        <w:rPr>
          <w:rFonts w:ascii="Arial" w:hAnsi="Arial" w:cs="Arial"/>
        </w:rPr>
      </w:pPr>
      <w:r w:rsidRPr="00F90DE8">
        <w:rPr>
          <w:rFonts w:ascii="Arial" w:eastAsiaTheme="minorEastAsia" w:hAnsi="Arial" w:cs="Arial"/>
        </w:rPr>
        <w:t>researcher status</w:t>
      </w:r>
    </w:p>
    <w:p w14:paraId="23EEAEFE" w14:textId="77777777" w:rsidR="00AB2BC5" w:rsidRPr="00F90DE8" w:rsidRDefault="00AB2BC5" w:rsidP="00AB2BC5">
      <w:pPr>
        <w:pStyle w:val="ListParagraph"/>
        <w:numPr>
          <w:ilvl w:val="1"/>
          <w:numId w:val="13"/>
        </w:numPr>
        <w:rPr>
          <w:rFonts w:ascii="Arial" w:eastAsiaTheme="minorEastAsia" w:hAnsi="Arial" w:cs="Arial"/>
        </w:rPr>
      </w:pPr>
      <w:r w:rsidRPr="00F90DE8">
        <w:rPr>
          <w:rFonts w:ascii="Arial" w:eastAsiaTheme="minorEastAsia" w:hAnsi="Arial" w:cs="Arial"/>
        </w:rPr>
        <w:t>type of research</w:t>
      </w:r>
    </w:p>
    <w:p w14:paraId="16BBFEB3" w14:textId="77777777" w:rsidR="00AB2BC5" w:rsidRPr="00F90DE8" w:rsidRDefault="00AB2BC5" w:rsidP="00AB2BC5">
      <w:pPr>
        <w:pStyle w:val="ListParagraph"/>
        <w:numPr>
          <w:ilvl w:val="1"/>
          <w:numId w:val="13"/>
        </w:numPr>
        <w:rPr>
          <w:rFonts w:ascii="Arial" w:hAnsi="Arial" w:cs="Arial"/>
        </w:rPr>
      </w:pPr>
      <w:r w:rsidRPr="00F90DE8">
        <w:rPr>
          <w:rFonts w:ascii="Arial" w:eastAsiaTheme="minorEastAsia" w:hAnsi="Arial" w:cs="Arial"/>
        </w:rPr>
        <w:t>number of participants</w:t>
      </w:r>
    </w:p>
    <w:p w14:paraId="4526C3E3" w14:textId="77777777" w:rsidR="00AB2BC5" w:rsidRPr="00F90DE8" w:rsidRDefault="00AB2BC5" w:rsidP="00AB2BC5">
      <w:pPr>
        <w:pStyle w:val="ListParagraph"/>
        <w:numPr>
          <w:ilvl w:val="1"/>
          <w:numId w:val="13"/>
        </w:numPr>
        <w:rPr>
          <w:rFonts w:ascii="Arial" w:hAnsi="Arial" w:cs="Arial"/>
        </w:rPr>
      </w:pPr>
      <w:r w:rsidRPr="00F90DE8">
        <w:rPr>
          <w:rFonts w:ascii="Arial" w:eastAsiaTheme="minorEastAsia" w:hAnsi="Arial" w:cs="Arial"/>
        </w:rPr>
        <w:t>learner level</w:t>
      </w:r>
    </w:p>
    <w:p w14:paraId="7B35B168" w14:textId="77777777" w:rsidR="00AB2BC5" w:rsidRPr="00F90DE8" w:rsidRDefault="00AB2BC5" w:rsidP="00AB2BC5">
      <w:pPr>
        <w:pStyle w:val="ListParagraph"/>
        <w:numPr>
          <w:ilvl w:val="1"/>
          <w:numId w:val="13"/>
        </w:numPr>
        <w:rPr>
          <w:rFonts w:ascii="Arial" w:hAnsi="Arial" w:cs="Arial"/>
        </w:rPr>
      </w:pPr>
      <w:r w:rsidRPr="00F90DE8">
        <w:rPr>
          <w:rFonts w:ascii="Arial" w:eastAsiaTheme="minorEastAsia" w:hAnsi="Arial" w:cs="Arial"/>
        </w:rPr>
        <w:t>learner/collaborator discipline</w:t>
      </w:r>
    </w:p>
    <w:p w14:paraId="55E3C9BB" w14:textId="77777777" w:rsidR="00AB2BC5" w:rsidRPr="00F90DE8" w:rsidRDefault="00AB2BC5" w:rsidP="00AB2BC5">
      <w:pPr>
        <w:pStyle w:val="ListParagraph"/>
        <w:numPr>
          <w:ilvl w:val="0"/>
          <w:numId w:val="13"/>
        </w:numPr>
        <w:rPr>
          <w:rFonts w:ascii="Arial" w:eastAsiaTheme="minorEastAsia" w:hAnsi="Arial" w:cs="Arial"/>
        </w:rPr>
      </w:pPr>
      <w:r w:rsidRPr="00F90DE8">
        <w:rPr>
          <w:rFonts w:ascii="Arial" w:eastAsiaTheme="minorEastAsia" w:hAnsi="Arial" w:cs="Arial"/>
          <w:b/>
          <w:bCs/>
        </w:rPr>
        <w:t>RQ 3: Frameworks</w:t>
      </w:r>
    </w:p>
    <w:p w14:paraId="1EBEFAF4" w14:textId="77777777" w:rsidR="00AB2BC5" w:rsidRPr="00F90DE8" w:rsidRDefault="00AB2BC5" w:rsidP="00AB2BC5">
      <w:pPr>
        <w:pStyle w:val="ListParagraph"/>
        <w:numPr>
          <w:ilvl w:val="1"/>
          <w:numId w:val="13"/>
        </w:numPr>
        <w:rPr>
          <w:rFonts w:ascii="Arial" w:eastAsiaTheme="minorEastAsia" w:hAnsi="Arial" w:cs="Arial"/>
        </w:rPr>
      </w:pPr>
      <w:r w:rsidRPr="00F90DE8">
        <w:rPr>
          <w:rFonts w:ascii="Arial" w:eastAsiaTheme="minorEastAsia" w:hAnsi="Arial" w:cs="Arial"/>
        </w:rPr>
        <w:t>IL framework</w:t>
      </w:r>
    </w:p>
    <w:p w14:paraId="1FAE2B53" w14:textId="77777777" w:rsidR="00AB2BC5" w:rsidRPr="00F90DE8" w:rsidRDefault="00AB2BC5" w:rsidP="00AB2BC5">
      <w:pPr>
        <w:pStyle w:val="ListParagraph"/>
        <w:numPr>
          <w:ilvl w:val="1"/>
          <w:numId w:val="13"/>
        </w:numPr>
        <w:rPr>
          <w:rFonts w:ascii="Arial" w:hAnsi="Arial" w:cs="Arial"/>
        </w:rPr>
      </w:pPr>
      <w:r w:rsidRPr="00F90DE8">
        <w:rPr>
          <w:rFonts w:ascii="Arial" w:eastAsiaTheme="minorEastAsia" w:hAnsi="Arial" w:cs="Arial"/>
        </w:rPr>
        <w:t>curriculum map</w:t>
      </w:r>
    </w:p>
    <w:p w14:paraId="77C0C9F8" w14:textId="77777777" w:rsidR="00AB2BC5" w:rsidRPr="00F90DE8" w:rsidRDefault="00AB2BC5" w:rsidP="00AB2BC5">
      <w:pPr>
        <w:pStyle w:val="ListParagraph"/>
        <w:numPr>
          <w:ilvl w:val="0"/>
          <w:numId w:val="13"/>
        </w:numPr>
        <w:rPr>
          <w:rFonts w:ascii="Arial" w:hAnsi="Arial" w:cs="Arial"/>
        </w:rPr>
      </w:pPr>
      <w:r w:rsidRPr="00F90DE8">
        <w:rPr>
          <w:rFonts w:ascii="Arial" w:eastAsiaTheme="minorEastAsia" w:hAnsi="Arial" w:cs="Arial"/>
          <w:b/>
          <w:bCs/>
        </w:rPr>
        <w:t>RQ 5: IL Concepts and Skills</w:t>
      </w:r>
    </w:p>
    <w:p w14:paraId="3A111F7D" w14:textId="77777777" w:rsidR="00AB2BC5" w:rsidRPr="00F90DE8" w:rsidRDefault="00AB2BC5" w:rsidP="003846CA">
      <w:pPr>
        <w:pStyle w:val="ListParagraph"/>
        <w:numPr>
          <w:ilvl w:val="1"/>
          <w:numId w:val="13"/>
        </w:numPr>
        <w:spacing w:after="240"/>
        <w:rPr>
          <w:rFonts w:ascii="Arial" w:eastAsiaTheme="minorEastAsia" w:hAnsi="Arial" w:cs="Arial"/>
        </w:rPr>
      </w:pPr>
      <w:r w:rsidRPr="00F90DE8">
        <w:rPr>
          <w:rFonts w:ascii="Arial" w:eastAsiaTheme="minorEastAsia" w:hAnsi="Arial" w:cs="Arial"/>
        </w:rPr>
        <w:t>IL concepts and skills</w:t>
      </w:r>
    </w:p>
    <w:p w14:paraId="3DF1C392" w14:textId="11C7CB35" w:rsidR="00AB2BC5" w:rsidRDefault="00AB2BC5" w:rsidP="00AB2BC5">
      <w:pPr>
        <w:rPr>
          <w:rFonts w:eastAsiaTheme="minorEastAsia"/>
        </w:rPr>
      </w:pPr>
      <w:r w:rsidRPr="00F90DE8">
        <w:rPr>
          <w:rFonts w:eastAsiaTheme="minorEastAsia"/>
        </w:rPr>
        <w:t xml:space="preserve">During our pilot testing, several codes which addressed the research question on context were eliminated for being extraneous to our focus and/or too difficult to code reliably given the diversity in reporting detail within our data set. The dropped codes were: purpose of study, motivation for study, type of primary research, and type of secondary research. </w:t>
      </w:r>
    </w:p>
    <w:p w14:paraId="38CB5B6A" w14:textId="77777777" w:rsidR="00AB2BC5" w:rsidRPr="00F90DE8" w:rsidRDefault="00AB2BC5" w:rsidP="00AB2BC5">
      <w:pPr>
        <w:rPr>
          <w:rFonts w:eastAsiaTheme="minorEastAsia"/>
        </w:rPr>
      </w:pPr>
    </w:p>
    <w:p w14:paraId="7EE8849D" w14:textId="6C7EBCF5" w:rsidR="00AB2BC5" w:rsidRDefault="00AB2BC5" w:rsidP="00AB2BC5">
      <w:pPr>
        <w:rPr>
          <w:rFonts w:eastAsiaTheme="minorEastAsia"/>
        </w:rPr>
      </w:pPr>
      <w:r w:rsidRPr="00F90DE8">
        <w:rPr>
          <w:rFonts w:eastAsiaTheme="minorEastAsia"/>
        </w:rPr>
        <w:t xml:space="preserve">We coded the possible responses within each theme category by marking a zero (not present) or one (present), adding information in a free-text notes fields for each category where appropriate. Some theme categories, such as “IL framework”, could have multiple codes for each frame referenced. Other theme categories, such as “curriculum map”, were limited to one code at a time, as they could be either present (one) or not (zero). </w:t>
      </w:r>
    </w:p>
    <w:p w14:paraId="5523FFD5" w14:textId="77777777" w:rsidR="00AB2BC5" w:rsidRPr="00F90DE8" w:rsidRDefault="00AB2BC5" w:rsidP="00AB2BC5">
      <w:pPr>
        <w:rPr>
          <w:rFonts w:eastAsiaTheme="minorEastAsia"/>
        </w:rPr>
      </w:pPr>
    </w:p>
    <w:p w14:paraId="39346D4D" w14:textId="611A7FE5" w:rsidR="00AB2BC5" w:rsidRDefault="00AB2BC5" w:rsidP="00AB2BC5">
      <w:pPr>
        <w:rPr>
          <w:rFonts w:eastAsiaTheme="minorEastAsia"/>
        </w:rPr>
      </w:pPr>
      <w:r w:rsidRPr="00F90DE8">
        <w:rPr>
          <w:rFonts w:eastAsiaTheme="minorEastAsia"/>
        </w:rPr>
        <w:t xml:space="preserve">An initial pilot test of the extraction instrument was carried out using a randomly selected sample of 25 articles from our results, with two authors pilot coding each randomly selected article. This pilot test contributed to the refinement of definitions within our codebook and the development of additional codes for certain categories within the extraction instrument. The article map code was developed, for example, to allow us to differentiate between the larger body of articles in our data set which merely reference curriculum mapping in a less discrete manner with the smaller subset of articles we discovered in our set which include tables visually mapping instructional elements to frameworks or theories. </w:t>
      </w:r>
    </w:p>
    <w:p w14:paraId="50A95526" w14:textId="77777777" w:rsidR="00AB2BC5" w:rsidRPr="00F90DE8" w:rsidRDefault="00AB2BC5" w:rsidP="00AB2BC5">
      <w:pPr>
        <w:rPr>
          <w:rFonts w:eastAsiaTheme="minorEastAsia"/>
        </w:rPr>
      </w:pPr>
    </w:p>
    <w:p w14:paraId="2B51FCF7" w14:textId="0B346E4C" w:rsidR="00AB2BC5" w:rsidRDefault="00AB2BC5" w:rsidP="00AB2BC5">
      <w:pPr>
        <w:rPr>
          <w:rFonts w:eastAsiaTheme="minorEastAsia"/>
        </w:rPr>
      </w:pPr>
      <w:r w:rsidRPr="00F90DE8">
        <w:rPr>
          <w:rFonts w:eastAsiaTheme="minorEastAsia"/>
        </w:rPr>
        <w:t>After testing and refining the extraction instrument, all remaining included article results were divided among the authors in duplicate for coding. Two authors independently screened each article using our extraction instrument. Our full extraction instrument is available in supplemental Appendix B.</w:t>
      </w:r>
    </w:p>
    <w:p w14:paraId="757804C4" w14:textId="77777777" w:rsidR="00AB2BC5" w:rsidRPr="00F90DE8" w:rsidRDefault="00AB2BC5" w:rsidP="00AB2BC5">
      <w:pPr>
        <w:rPr>
          <w:rFonts w:eastAsiaTheme="minorEastAsia"/>
        </w:rPr>
      </w:pPr>
    </w:p>
    <w:p w14:paraId="036248FB" w14:textId="77777777" w:rsidR="00AB2BC5" w:rsidRPr="00AB2BC5" w:rsidRDefault="00AB2BC5" w:rsidP="00AB2BC5">
      <w:pPr>
        <w:spacing w:after="200"/>
        <w:rPr>
          <w:b/>
          <w:bCs/>
          <w:sz w:val="28"/>
          <w:szCs w:val="28"/>
        </w:rPr>
      </w:pPr>
      <w:r w:rsidRPr="00AB2BC5">
        <w:rPr>
          <w:b/>
          <w:bCs/>
          <w:sz w:val="28"/>
          <w:szCs w:val="28"/>
        </w:rPr>
        <w:t>3. Results</w:t>
      </w:r>
    </w:p>
    <w:p w14:paraId="6C966FF7" w14:textId="77777777" w:rsidR="00AB2BC5" w:rsidRPr="00F90DE8" w:rsidRDefault="00AB2BC5" w:rsidP="00AB2BC5">
      <w:r w:rsidRPr="00F90DE8">
        <w:t>From our initial de-duplicated set of 680 article results, we identified 200 articles for full-text review, 73 of which were found to fulfil our exclusion criteria. We retained 127 articles for inclusion and data extraction. (PRISMA diagram in Figure 1).</w:t>
      </w:r>
    </w:p>
    <w:p w14:paraId="62524C11" w14:textId="77777777" w:rsidR="00AB2BC5" w:rsidRPr="00F90DE8" w:rsidRDefault="00AB2BC5" w:rsidP="00AB2BC5">
      <w:pPr>
        <w:rPr>
          <w:rFonts w:eastAsiaTheme="minorEastAsia"/>
          <w:b/>
          <w:bCs/>
        </w:rPr>
      </w:pPr>
    </w:p>
    <w:p w14:paraId="20FA5949" w14:textId="77777777" w:rsidR="00AB2BC5" w:rsidRDefault="00AB2BC5" w:rsidP="00AB2BC5">
      <w:pPr>
        <w:rPr>
          <w:rFonts w:eastAsiaTheme="minorEastAsia"/>
          <w:b/>
          <w:bCs/>
          <w:sz w:val="24"/>
          <w:szCs w:val="24"/>
        </w:rPr>
      </w:pPr>
    </w:p>
    <w:p w14:paraId="17F79581" w14:textId="77777777" w:rsidR="00AB2BC5" w:rsidRDefault="00AB2BC5" w:rsidP="00AB2BC5">
      <w:pPr>
        <w:rPr>
          <w:rFonts w:eastAsiaTheme="minorEastAsia"/>
          <w:b/>
          <w:bCs/>
          <w:sz w:val="24"/>
          <w:szCs w:val="24"/>
        </w:rPr>
      </w:pPr>
    </w:p>
    <w:p w14:paraId="0A3D1367" w14:textId="275EDC5E" w:rsidR="00AB2BC5" w:rsidRPr="00313CE4" w:rsidRDefault="00AB2BC5" w:rsidP="00AB2BC5">
      <w:pPr>
        <w:rPr>
          <w:rFonts w:eastAsiaTheme="minorEastAsia"/>
          <w:b/>
          <w:bCs/>
        </w:rPr>
      </w:pPr>
      <w:r w:rsidRPr="00313CE4">
        <w:rPr>
          <w:rFonts w:eastAsiaTheme="minorEastAsia"/>
          <w:b/>
          <w:bCs/>
        </w:rPr>
        <w:lastRenderedPageBreak/>
        <w:t>Figure 1</w:t>
      </w:r>
      <w:r w:rsidRPr="00313CE4">
        <w:rPr>
          <w:rFonts w:eastAsiaTheme="minorEastAsia"/>
        </w:rPr>
        <w:t>: PRISMA diagram</w:t>
      </w:r>
    </w:p>
    <w:p w14:paraId="7E8829C0" w14:textId="3C33D40A" w:rsidR="00AB2BC5" w:rsidRDefault="00AB2BC5" w:rsidP="007E46D4">
      <w:r w:rsidRPr="00F90DE8">
        <w:rPr>
          <w:noProof/>
        </w:rPr>
        <w:drawing>
          <wp:inline distT="0" distB="0" distL="0" distR="0" wp14:anchorId="0C549A2B" wp14:editId="42D08091">
            <wp:extent cx="6054424" cy="3132000"/>
            <wp:effectExtent l="0" t="0" r="0" b="5080"/>
            <wp:docPr id="3" name="Picture 3" descr="PRISMA diagram showing initial articles identified (n = 1,112), screening process, and papers included in final review (n =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ISMA diagram showing initial articles identified (n = 1,112), screening process, and papers included in final review (n = 1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54424" cy="3132000"/>
                    </a:xfrm>
                    <a:prstGeom prst="rect">
                      <a:avLst/>
                    </a:prstGeom>
                    <a:noFill/>
                    <a:ln>
                      <a:noFill/>
                    </a:ln>
                  </pic:spPr>
                </pic:pic>
              </a:graphicData>
            </a:graphic>
          </wp:inline>
        </w:drawing>
      </w:r>
    </w:p>
    <w:p w14:paraId="2B5A542F" w14:textId="77777777" w:rsidR="007E46D4" w:rsidRPr="007E46D4" w:rsidRDefault="007E46D4" w:rsidP="007E46D4"/>
    <w:p w14:paraId="6F040CA5" w14:textId="1F258C68" w:rsidR="00AB2BC5" w:rsidRPr="00AB2BC5" w:rsidRDefault="00AB2BC5" w:rsidP="00AB2BC5">
      <w:pPr>
        <w:spacing w:before="80" w:after="120"/>
        <w:rPr>
          <w:b/>
          <w:bCs/>
          <w:sz w:val="24"/>
          <w:szCs w:val="24"/>
        </w:rPr>
      </w:pPr>
      <w:r w:rsidRPr="00F90DE8">
        <w:rPr>
          <w:b/>
          <w:bCs/>
          <w:sz w:val="24"/>
          <w:szCs w:val="24"/>
        </w:rPr>
        <w:t>3.1 Context</w:t>
      </w:r>
    </w:p>
    <w:p w14:paraId="096614B9" w14:textId="0E5E91FA" w:rsidR="00AB2BC5" w:rsidRDefault="00AB2BC5" w:rsidP="00AB2BC5">
      <w:pPr>
        <w:rPr>
          <w:rFonts w:eastAsiaTheme="minorEastAsia"/>
        </w:rPr>
      </w:pPr>
      <w:r w:rsidRPr="00F90DE8">
        <w:t xml:space="preserve">Our first research question focused on the context in which librarians carry out curriculum mapping projects, and the following codes were designed to provide data to answer this question: </w:t>
      </w:r>
      <w:r w:rsidRPr="00F90DE8">
        <w:rPr>
          <w:rFonts w:eastAsiaTheme="minorEastAsia"/>
        </w:rPr>
        <w:t>institution, researcher status, type of research, learner level, learner/collaborator discipline, and purpose of study.</w:t>
      </w:r>
    </w:p>
    <w:p w14:paraId="5D12EF46" w14:textId="77777777" w:rsidR="00AB2BC5" w:rsidRPr="00F90DE8" w:rsidRDefault="00AB2BC5" w:rsidP="00AB2BC5"/>
    <w:p w14:paraId="2C35BD92" w14:textId="3A7226E6" w:rsidR="00AB2BC5" w:rsidRDefault="00AB2BC5" w:rsidP="00AB2BC5">
      <w:pPr>
        <w:rPr>
          <w:rFonts w:eastAsiaTheme="minorEastAsia"/>
        </w:rPr>
      </w:pPr>
      <w:r w:rsidRPr="00F90DE8">
        <w:rPr>
          <w:rFonts w:eastAsiaTheme="minorEastAsia"/>
        </w:rPr>
        <w:t xml:space="preserve">Given our inclusion criteria for IL within library contexts, we hypothesised that librarians would be research participants and/or authors on the majority of articles. We were interested in how the researchers positioned themselves and whether there would be trends in their librarian or faculty status. We found 117 articles (92%) explicitly identified the professions of the researchers in either the body of the text or author contact information: 109 articles (85%) explicitly identified researchers as librarians; 49 (38%) identified faculty, while only one mentioned tenure (00.7%); and 14 articles (11%) identified the researchers as other professionals such as practitioners and doctoral students. A full </w:t>
      </w:r>
      <w:r w:rsidRPr="002B776D">
        <w:rPr>
          <w:rFonts w:eastAsiaTheme="minorEastAsia"/>
        </w:rPr>
        <w:t>12 articles (9</w:t>
      </w:r>
      <w:r>
        <w:rPr>
          <w:rFonts w:eastAsiaTheme="minorEastAsia"/>
        </w:rPr>
        <w:t>%</w:t>
      </w:r>
      <w:r w:rsidRPr="002B776D">
        <w:rPr>
          <w:rFonts w:eastAsiaTheme="minorEastAsia"/>
        </w:rPr>
        <w:t>)</w:t>
      </w:r>
      <w:r w:rsidRPr="00F90DE8">
        <w:rPr>
          <w:rFonts w:eastAsiaTheme="minorEastAsia"/>
        </w:rPr>
        <w:t xml:space="preserve"> made no mention of any researcher’s profession or status, while a separate 12 </w:t>
      </w:r>
      <w:r>
        <w:rPr>
          <w:rFonts w:eastAsiaTheme="minorEastAsia"/>
        </w:rPr>
        <w:t xml:space="preserve">(9%) </w:t>
      </w:r>
      <w:r w:rsidRPr="00F90DE8">
        <w:rPr>
          <w:rFonts w:eastAsiaTheme="minorEastAsia"/>
        </w:rPr>
        <w:t>stated, either in the text or within biographical information, that librarian authors were also faculty.</w:t>
      </w:r>
    </w:p>
    <w:p w14:paraId="484B108F" w14:textId="77777777" w:rsidR="00AB2BC5" w:rsidRPr="00F90DE8" w:rsidRDefault="00AB2BC5" w:rsidP="00AB2BC5">
      <w:pPr>
        <w:rPr>
          <w:rFonts w:eastAsiaTheme="minorEastAsia"/>
        </w:rPr>
      </w:pPr>
    </w:p>
    <w:p w14:paraId="24B66501" w14:textId="02C710F9" w:rsidR="00AB2BC5" w:rsidRDefault="00AB2BC5" w:rsidP="00AB2BC5">
      <w:r w:rsidRPr="00F90DE8">
        <w:t>Codes for the types of research represented by the articles were based on broad categories designed to capture the level of evidence of current IL curriculum mapping literature: primary or secondary research (Agoritsas et al., 2015)</w:t>
      </w:r>
      <w:r w:rsidRPr="00F90DE8">
        <w:rPr>
          <w:rFonts w:eastAsia="Calibri"/>
        </w:rPr>
        <w:t xml:space="preserve">, with “commentaries” and “other” included to account for journal publication trends and diversity. </w:t>
      </w:r>
      <w:r w:rsidRPr="00F90DE8">
        <w:t xml:space="preserve">We found most articles to be primary research (n=84, 66%), with commentaries being the next most numerous (n=20, 15%), followed by secondary research (n=14, 11%) and “other” (n=12, 9%). </w:t>
      </w:r>
    </w:p>
    <w:p w14:paraId="29E2DDD3" w14:textId="77777777" w:rsidR="00AB2BC5" w:rsidRPr="00F90DE8" w:rsidRDefault="00AB2BC5" w:rsidP="00AB2BC5"/>
    <w:p w14:paraId="044D9E79" w14:textId="1A3110CB" w:rsidR="00AB2BC5" w:rsidRDefault="00AB2BC5" w:rsidP="00AB2BC5">
      <w:r w:rsidRPr="00F90DE8">
        <w:t xml:space="preserve">Most articles concerned instruction delivered to undergraduate learners (n=60, 47%), though graduates were present almost as often (n=50, 39%) -- most likely </w:t>
      </w:r>
      <w:r w:rsidR="00097340">
        <w:t>a</w:t>
      </w:r>
      <w:r w:rsidR="00097340" w:rsidRPr="00F90DE8">
        <w:t xml:space="preserve"> </w:t>
      </w:r>
      <w:r w:rsidRPr="00F90DE8">
        <w:t xml:space="preserve">reflection of the high number of graduate degrees in health sciences and medical schools. A smaller number of learners were faculty (n=14, 11%) or clinicians (n=19, 14%), though their representation is not </w:t>
      </w:r>
      <w:r w:rsidRPr="00F90DE8">
        <w:lastRenderedPageBreak/>
        <w:t>minimal, and a sizeable portion of learners were coded as “other” (n=29, 22%), being community practitioners unaffiliated with the university, or librarians themselves.</w:t>
      </w:r>
    </w:p>
    <w:p w14:paraId="56041718" w14:textId="77777777" w:rsidR="00AB2BC5" w:rsidRPr="00F90DE8" w:rsidRDefault="00AB2BC5" w:rsidP="00AB2BC5"/>
    <w:p w14:paraId="30C549E5" w14:textId="75F6EA54" w:rsidR="00AB2BC5" w:rsidRDefault="00AB2BC5" w:rsidP="00AB2BC5">
      <w:r w:rsidRPr="00F90DE8">
        <w:t>The learners were most often from nursing disciplines (n=50, 39%), followed by medicine (n=37, 29%). A high number of articles centred on groups of mixed disciplines or disciplines not included in our coding instrument, such as veterinary science, pharmacy, midwifery, dietetics, or optometry.</w:t>
      </w:r>
    </w:p>
    <w:p w14:paraId="1C8886F6" w14:textId="77777777" w:rsidR="00AB2BC5" w:rsidRPr="00F90DE8" w:rsidRDefault="00AB2BC5" w:rsidP="00AB2BC5"/>
    <w:p w14:paraId="1BB0AA0A" w14:textId="5C9C8707" w:rsidR="00AB2BC5" w:rsidRPr="00313CE4" w:rsidRDefault="00AB2BC5" w:rsidP="00AB2BC5">
      <w:pPr>
        <w:spacing w:line="240" w:lineRule="auto"/>
        <w:rPr>
          <w:rFonts w:eastAsia="Calibri"/>
        </w:rPr>
      </w:pPr>
      <w:r w:rsidRPr="00313CE4">
        <w:rPr>
          <w:b/>
          <w:bCs/>
        </w:rPr>
        <w:t>Table 1</w:t>
      </w:r>
      <w:r w:rsidRPr="00313CE4">
        <w:t>: Learner level and discipline*</w:t>
      </w:r>
    </w:p>
    <w:tbl>
      <w:tblPr>
        <w:tblStyle w:val="TableGrid"/>
        <w:tblW w:w="0" w:type="auto"/>
        <w:jc w:val="center"/>
        <w:tblLayout w:type="fixed"/>
        <w:tblLook w:val="06A0" w:firstRow="1" w:lastRow="0" w:firstColumn="1" w:lastColumn="0" w:noHBand="1" w:noVBand="1"/>
        <w:tblCaption w:val="Learner level and discipline"/>
        <w:tblDescription w:val="Table showing learner disciplines with article count plus learner level with article count.  "/>
      </w:tblPr>
      <w:tblGrid>
        <w:gridCol w:w="1872"/>
        <w:gridCol w:w="1872"/>
        <w:gridCol w:w="1014"/>
        <w:gridCol w:w="2730"/>
        <w:gridCol w:w="1872"/>
      </w:tblGrid>
      <w:tr w:rsidR="00AB2BC5" w:rsidRPr="00F90DE8" w14:paraId="4CC6ACAB" w14:textId="77777777" w:rsidTr="00947143">
        <w:trPr>
          <w:jc w:val="center"/>
        </w:trPr>
        <w:tc>
          <w:tcPr>
            <w:tcW w:w="1872" w:type="dxa"/>
          </w:tcPr>
          <w:p w14:paraId="6377FEEC" w14:textId="77777777" w:rsidR="00AB2BC5" w:rsidRPr="00F90DE8" w:rsidRDefault="00AB2BC5" w:rsidP="00947143">
            <w:pPr>
              <w:rPr>
                <w:rFonts w:ascii="Arial" w:hAnsi="Arial" w:cs="Arial"/>
              </w:rPr>
            </w:pPr>
            <w:r w:rsidRPr="00F90DE8">
              <w:rPr>
                <w:rFonts w:ascii="Arial" w:hAnsi="Arial" w:cs="Arial"/>
              </w:rPr>
              <w:t>Learner discipline</w:t>
            </w:r>
          </w:p>
        </w:tc>
        <w:tc>
          <w:tcPr>
            <w:tcW w:w="1872" w:type="dxa"/>
          </w:tcPr>
          <w:p w14:paraId="0D7B93E8" w14:textId="77777777" w:rsidR="00AB2BC5" w:rsidRPr="00F90DE8" w:rsidRDefault="00AB2BC5" w:rsidP="00947143">
            <w:pPr>
              <w:rPr>
                <w:rFonts w:ascii="Arial" w:hAnsi="Arial" w:cs="Arial"/>
              </w:rPr>
            </w:pPr>
            <w:r w:rsidRPr="00F90DE8">
              <w:rPr>
                <w:rFonts w:ascii="Arial" w:hAnsi="Arial" w:cs="Arial"/>
              </w:rPr>
              <w:t>Article count</w:t>
            </w:r>
          </w:p>
        </w:tc>
        <w:tc>
          <w:tcPr>
            <w:tcW w:w="1014" w:type="dxa"/>
          </w:tcPr>
          <w:p w14:paraId="58E5DB89" w14:textId="77777777" w:rsidR="00AB2BC5" w:rsidRPr="00F90DE8" w:rsidRDefault="00AB2BC5" w:rsidP="00947143">
            <w:pPr>
              <w:rPr>
                <w:rFonts w:ascii="Arial" w:hAnsi="Arial" w:cs="Arial"/>
              </w:rPr>
            </w:pPr>
          </w:p>
        </w:tc>
        <w:tc>
          <w:tcPr>
            <w:tcW w:w="2730" w:type="dxa"/>
          </w:tcPr>
          <w:p w14:paraId="0523EFB7" w14:textId="77777777" w:rsidR="00AB2BC5" w:rsidRPr="00F90DE8" w:rsidRDefault="00AB2BC5" w:rsidP="00947143">
            <w:pPr>
              <w:rPr>
                <w:rFonts w:ascii="Arial" w:hAnsi="Arial" w:cs="Arial"/>
              </w:rPr>
            </w:pPr>
            <w:r w:rsidRPr="00F90DE8">
              <w:rPr>
                <w:rFonts w:ascii="Arial" w:hAnsi="Arial" w:cs="Arial"/>
              </w:rPr>
              <w:t>Learner level</w:t>
            </w:r>
          </w:p>
        </w:tc>
        <w:tc>
          <w:tcPr>
            <w:tcW w:w="1872" w:type="dxa"/>
          </w:tcPr>
          <w:p w14:paraId="4EAFE3E5" w14:textId="77777777" w:rsidR="00AB2BC5" w:rsidRPr="00F90DE8" w:rsidRDefault="00AB2BC5" w:rsidP="00947143">
            <w:pPr>
              <w:rPr>
                <w:rFonts w:ascii="Arial" w:hAnsi="Arial" w:cs="Arial"/>
              </w:rPr>
            </w:pPr>
            <w:r w:rsidRPr="00F90DE8">
              <w:rPr>
                <w:rFonts w:ascii="Arial" w:hAnsi="Arial" w:cs="Arial"/>
              </w:rPr>
              <w:t>Article count</w:t>
            </w:r>
          </w:p>
        </w:tc>
      </w:tr>
      <w:tr w:rsidR="00AB2BC5" w:rsidRPr="00F90DE8" w14:paraId="541CAB34" w14:textId="77777777" w:rsidTr="00947143">
        <w:trPr>
          <w:jc w:val="center"/>
        </w:trPr>
        <w:tc>
          <w:tcPr>
            <w:tcW w:w="1872" w:type="dxa"/>
          </w:tcPr>
          <w:p w14:paraId="7CDB0C36" w14:textId="77777777" w:rsidR="00AB2BC5" w:rsidRPr="00F90DE8" w:rsidRDefault="00AB2BC5" w:rsidP="00947143">
            <w:pPr>
              <w:rPr>
                <w:rFonts w:ascii="Arial" w:hAnsi="Arial" w:cs="Arial"/>
              </w:rPr>
            </w:pPr>
            <w:r w:rsidRPr="00F90DE8">
              <w:rPr>
                <w:rFonts w:ascii="Arial" w:hAnsi="Arial" w:cs="Arial"/>
              </w:rPr>
              <w:t>general</w:t>
            </w:r>
          </w:p>
        </w:tc>
        <w:tc>
          <w:tcPr>
            <w:tcW w:w="1872" w:type="dxa"/>
          </w:tcPr>
          <w:p w14:paraId="7A7069A0" w14:textId="77777777" w:rsidR="00AB2BC5" w:rsidRPr="00F90DE8" w:rsidRDefault="00AB2BC5" w:rsidP="00947143">
            <w:pPr>
              <w:rPr>
                <w:rFonts w:ascii="Arial" w:hAnsi="Arial" w:cs="Arial"/>
              </w:rPr>
            </w:pPr>
            <w:r w:rsidRPr="00F90DE8">
              <w:rPr>
                <w:rFonts w:ascii="Arial" w:hAnsi="Arial" w:cs="Arial"/>
              </w:rPr>
              <w:t>11</w:t>
            </w:r>
          </w:p>
        </w:tc>
        <w:tc>
          <w:tcPr>
            <w:tcW w:w="1014" w:type="dxa"/>
          </w:tcPr>
          <w:p w14:paraId="459122A0" w14:textId="77777777" w:rsidR="00AB2BC5" w:rsidRPr="00F90DE8" w:rsidRDefault="00AB2BC5" w:rsidP="00947143">
            <w:pPr>
              <w:rPr>
                <w:rFonts w:ascii="Arial" w:hAnsi="Arial" w:cs="Arial"/>
              </w:rPr>
            </w:pPr>
          </w:p>
        </w:tc>
        <w:tc>
          <w:tcPr>
            <w:tcW w:w="2730" w:type="dxa"/>
          </w:tcPr>
          <w:p w14:paraId="6BEA2592" w14:textId="77777777" w:rsidR="00AB2BC5" w:rsidRPr="00F90DE8" w:rsidRDefault="00AB2BC5" w:rsidP="00947143">
            <w:pPr>
              <w:rPr>
                <w:rFonts w:ascii="Arial" w:hAnsi="Arial" w:cs="Arial"/>
              </w:rPr>
            </w:pPr>
            <w:r w:rsidRPr="00F90DE8">
              <w:rPr>
                <w:rFonts w:ascii="Arial" w:hAnsi="Arial" w:cs="Arial"/>
              </w:rPr>
              <w:t>undergraduate</w:t>
            </w:r>
          </w:p>
        </w:tc>
        <w:tc>
          <w:tcPr>
            <w:tcW w:w="1872" w:type="dxa"/>
          </w:tcPr>
          <w:p w14:paraId="10B03CE4" w14:textId="77777777" w:rsidR="00AB2BC5" w:rsidRPr="00F90DE8" w:rsidRDefault="00AB2BC5" w:rsidP="00947143">
            <w:pPr>
              <w:rPr>
                <w:rFonts w:ascii="Arial" w:hAnsi="Arial" w:cs="Arial"/>
              </w:rPr>
            </w:pPr>
            <w:r w:rsidRPr="00F90DE8">
              <w:rPr>
                <w:rFonts w:ascii="Arial" w:hAnsi="Arial" w:cs="Arial"/>
              </w:rPr>
              <w:t>60</w:t>
            </w:r>
          </w:p>
        </w:tc>
      </w:tr>
      <w:tr w:rsidR="00AB2BC5" w:rsidRPr="00F90DE8" w14:paraId="17CA5BEC" w14:textId="77777777" w:rsidTr="00947143">
        <w:trPr>
          <w:jc w:val="center"/>
        </w:trPr>
        <w:tc>
          <w:tcPr>
            <w:tcW w:w="1872" w:type="dxa"/>
          </w:tcPr>
          <w:p w14:paraId="6AE0C274" w14:textId="77777777" w:rsidR="00AB2BC5" w:rsidRPr="00F90DE8" w:rsidRDefault="00AB2BC5" w:rsidP="00947143">
            <w:pPr>
              <w:rPr>
                <w:rFonts w:ascii="Arial" w:hAnsi="Arial" w:cs="Arial"/>
              </w:rPr>
            </w:pPr>
            <w:r w:rsidRPr="00F90DE8">
              <w:rPr>
                <w:rFonts w:ascii="Arial" w:hAnsi="Arial" w:cs="Arial"/>
              </w:rPr>
              <w:t>med</w:t>
            </w:r>
            <w:r>
              <w:rPr>
                <w:rFonts w:ascii="Arial" w:hAnsi="Arial" w:cs="Arial"/>
              </w:rPr>
              <w:t>ical</w:t>
            </w:r>
          </w:p>
        </w:tc>
        <w:tc>
          <w:tcPr>
            <w:tcW w:w="1872" w:type="dxa"/>
          </w:tcPr>
          <w:p w14:paraId="4B90D0CE" w14:textId="77777777" w:rsidR="00AB2BC5" w:rsidRPr="00F90DE8" w:rsidRDefault="00AB2BC5" w:rsidP="00947143">
            <w:pPr>
              <w:rPr>
                <w:rFonts w:ascii="Arial" w:hAnsi="Arial" w:cs="Arial"/>
              </w:rPr>
            </w:pPr>
            <w:r w:rsidRPr="00F90DE8">
              <w:rPr>
                <w:rFonts w:ascii="Arial" w:hAnsi="Arial" w:cs="Arial"/>
              </w:rPr>
              <w:t>37</w:t>
            </w:r>
          </w:p>
        </w:tc>
        <w:tc>
          <w:tcPr>
            <w:tcW w:w="1014" w:type="dxa"/>
          </w:tcPr>
          <w:p w14:paraId="0DA741A3" w14:textId="77777777" w:rsidR="00AB2BC5" w:rsidRPr="00F90DE8" w:rsidRDefault="00AB2BC5" w:rsidP="00947143">
            <w:pPr>
              <w:rPr>
                <w:rFonts w:ascii="Arial" w:hAnsi="Arial" w:cs="Arial"/>
              </w:rPr>
            </w:pPr>
          </w:p>
        </w:tc>
        <w:tc>
          <w:tcPr>
            <w:tcW w:w="2730" w:type="dxa"/>
          </w:tcPr>
          <w:p w14:paraId="648DB2AD" w14:textId="77777777" w:rsidR="00AB2BC5" w:rsidRPr="00F90DE8" w:rsidRDefault="00AB2BC5" w:rsidP="00947143">
            <w:pPr>
              <w:rPr>
                <w:rFonts w:ascii="Arial" w:hAnsi="Arial" w:cs="Arial"/>
              </w:rPr>
            </w:pPr>
            <w:r w:rsidRPr="00F90DE8">
              <w:rPr>
                <w:rFonts w:ascii="Arial" w:hAnsi="Arial" w:cs="Arial"/>
              </w:rPr>
              <w:t>graduate</w:t>
            </w:r>
          </w:p>
        </w:tc>
        <w:tc>
          <w:tcPr>
            <w:tcW w:w="1872" w:type="dxa"/>
          </w:tcPr>
          <w:p w14:paraId="2B0C73FC" w14:textId="77777777" w:rsidR="00AB2BC5" w:rsidRPr="00F90DE8" w:rsidRDefault="00AB2BC5" w:rsidP="00947143">
            <w:pPr>
              <w:rPr>
                <w:rFonts w:ascii="Arial" w:hAnsi="Arial" w:cs="Arial"/>
              </w:rPr>
            </w:pPr>
            <w:r w:rsidRPr="00F90DE8">
              <w:rPr>
                <w:rFonts w:ascii="Arial" w:hAnsi="Arial" w:cs="Arial"/>
              </w:rPr>
              <w:t>50</w:t>
            </w:r>
          </w:p>
        </w:tc>
      </w:tr>
      <w:tr w:rsidR="00AB2BC5" w:rsidRPr="00F90DE8" w14:paraId="276D7476" w14:textId="77777777" w:rsidTr="00947143">
        <w:trPr>
          <w:jc w:val="center"/>
        </w:trPr>
        <w:tc>
          <w:tcPr>
            <w:tcW w:w="1872" w:type="dxa"/>
          </w:tcPr>
          <w:p w14:paraId="49352A40" w14:textId="77777777" w:rsidR="00AB2BC5" w:rsidRPr="00F90DE8" w:rsidRDefault="00AB2BC5" w:rsidP="00947143">
            <w:pPr>
              <w:rPr>
                <w:rFonts w:ascii="Arial" w:hAnsi="Arial" w:cs="Arial"/>
              </w:rPr>
            </w:pPr>
            <w:r w:rsidRPr="00F90DE8">
              <w:rPr>
                <w:rFonts w:ascii="Arial" w:hAnsi="Arial" w:cs="Arial"/>
              </w:rPr>
              <w:t>nursing</w:t>
            </w:r>
          </w:p>
        </w:tc>
        <w:tc>
          <w:tcPr>
            <w:tcW w:w="1872" w:type="dxa"/>
          </w:tcPr>
          <w:p w14:paraId="17A2B7F6" w14:textId="77777777" w:rsidR="00AB2BC5" w:rsidRPr="00F90DE8" w:rsidRDefault="00AB2BC5" w:rsidP="00947143">
            <w:pPr>
              <w:rPr>
                <w:rFonts w:ascii="Arial" w:hAnsi="Arial" w:cs="Arial"/>
              </w:rPr>
            </w:pPr>
            <w:r w:rsidRPr="00F90DE8">
              <w:rPr>
                <w:rFonts w:ascii="Arial" w:hAnsi="Arial" w:cs="Arial"/>
              </w:rPr>
              <w:t>50</w:t>
            </w:r>
          </w:p>
        </w:tc>
        <w:tc>
          <w:tcPr>
            <w:tcW w:w="1014" w:type="dxa"/>
          </w:tcPr>
          <w:p w14:paraId="5878229F" w14:textId="77777777" w:rsidR="00AB2BC5" w:rsidRPr="00F90DE8" w:rsidRDefault="00AB2BC5" w:rsidP="00947143">
            <w:pPr>
              <w:rPr>
                <w:rFonts w:ascii="Arial" w:hAnsi="Arial" w:cs="Arial"/>
              </w:rPr>
            </w:pPr>
          </w:p>
        </w:tc>
        <w:tc>
          <w:tcPr>
            <w:tcW w:w="2730" w:type="dxa"/>
          </w:tcPr>
          <w:p w14:paraId="13D507D4" w14:textId="77777777" w:rsidR="00AB2BC5" w:rsidRPr="00F90DE8" w:rsidRDefault="00AB2BC5" w:rsidP="00947143">
            <w:pPr>
              <w:rPr>
                <w:rFonts w:ascii="Arial" w:hAnsi="Arial" w:cs="Arial"/>
              </w:rPr>
            </w:pPr>
            <w:r w:rsidRPr="00F90DE8">
              <w:rPr>
                <w:rFonts w:ascii="Arial" w:hAnsi="Arial" w:cs="Arial"/>
              </w:rPr>
              <w:t>faculty</w:t>
            </w:r>
          </w:p>
        </w:tc>
        <w:tc>
          <w:tcPr>
            <w:tcW w:w="1872" w:type="dxa"/>
          </w:tcPr>
          <w:p w14:paraId="6E9A103A" w14:textId="77777777" w:rsidR="00AB2BC5" w:rsidRPr="00F90DE8" w:rsidRDefault="00AB2BC5" w:rsidP="00947143">
            <w:pPr>
              <w:rPr>
                <w:rFonts w:ascii="Arial" w:hAnsi="Arial" w:cs="Arial"/>
              </w:rPr>
            </w:pPr>
            <w:r w:rsidRPr="00F90DE8">
              <w:rPr>
                <w:rFonts w:ascii="Arial" w:hAnsi="Arial" w:cs="Arial"/>
              </w:rPr>
              <w:t>14</w:t>
            </w:r>
          </w:p>
        </w:tc>
      </w:tr>
      <w:tr w:rsidR="00AB2BC5" w:rsidRPr="00F90DE8" w14:paraId="390F2DAC" w14:textId="77777777" w:rsidTr="00947143">
        <w:trPr>
          <w:jc w:val="center"/>
        </w:trPr>
        <w:tc>
          <w:tcPr>
            <w:tcW w:w="1872" w:type="dxa"/>
          </w:tcPr>
          <w:p w14:paraId="2D19A238" w14:textId="6A82B743" w:rsidR="00AB2BC5" w:rsidRPr="00F90DE8" w:rsidRDefault="00AB2BC5" w:rsidP="00947143">
            <w:pPr>
              <w:rPr>
                <w:rFonts w:ascii="Arial" w:hAnsi="Arial" w:cs="Arial"/>
              </w:rPr>
            </w:pPr>
            <w:r w:rsidRPr="461FFA0E">
              <w:rPr>
                <w:rFonts w:ascii="Arial" w:hAnsi="Arial" w:cs="Arial"/>
              </w:rPr>
              <w:t>occupational therapy</w:t>
            </w:r>
          </w:p>
        </w:tc>
        <w:tc>
          <w:tcPr>
            <w:tcW w:w="1872" w:type="dxa"/>
          </w:tcPr>
          <w:p w14:paraId="4B70FF88" w14:textId="77777777" w:rsidR="00AB2BC5" w:rsidRPr="00F90DE8" w:rsidRDefault="00AB2BC5" w:rsidP="00947143">
            <w:pPr>
              <w:rPr>
                <w:rFonts w:ascii="Arial" w:hAnsi="Arial" w:cs="Arial"/>
              </w:rPr>
            </w:pPr>
            <w:r w:rsidRPr="00F90DE8">
              <w:rPr>
                <w:rFonts w:ascii="Arial" w:hAnsi="Arial" w:cs="Arial"/>
              </w:rPr>
              <w:t>12</w:t>
            </w:r>
          </w:p>
        </w:tc>
        <w:tc>
          <w:tcPr>
            <w:tcW w:w="1014" w:type="dxa"/>
          </w:tcPr>
          <w:p w14:paraId="4907DF4B" w14:textId="77777777" w:rsidR="00AB2BC5" w:rsidRPr="00F90DE8" w:rsidRDefault="00AB2BC5" w:rsidP="00947143">
            <w:pPr>
              <w:rPr>
                <w:rFonts w:ascii="Arial" w:hAnsi="Arial" w:cs="Arial"/>
              </w:rPr>
            </w:pPr>
          </w:p>
        </w:tc>
        <w:tc>
          <w:tcPr>
            <w:tcW w:w="2730" w:type="dxa"/>
          </w:tcPr>
          <w:p w14:paraId="4E0E26BF" w14:textId="77777777" w:rsidR="00AB2BC5" w:rsidRPr="00F90DE8" w:rsidRDefault="00AB2BC5" w:rsidP="00947143">
            <w:pPr>
              <w:rPr>
                <w:rFonts w:ascii="Arial" w:hAnsi="Arial" w:cs="Arial"/>
              </w:rPr>
            </w:pPr>
            <w:r w:rsidRPr="00F90DE8">
              <w:rPr>
                <w:rFonts w:ascii="Arial" w:hAnsi="Arial" w:cs="Arial"/>
              </w:rPr>
              <w:t>clinician</w:t>
            </w:r>
          </w:p>
        </w:tc>
        <w:tc>
          <w:tcPr>
            <w:tcW w:w="1872" w:type="dxa"/>
          </w:tcPr>
          <w:p w14:paraId="0FF159D0" w14:textId="77777777" w:rsidR="00AB2BC5" w:rsidRPr="00F90DE8" w:rsidRDefault="00AB2BC5" w:rsidP="00947143">
            <w:pPr>
              <w:rPr>
                <w:rFonts w:ascii="Arial" w:hAnsi="Arial" w:cs="Arial"/>
              </w:rPr>
            </w:pPr>
            <w:r w:rsidRPr="00F90DE8">
              <w:rPr>
                <w:rFonts w:ascii="Arial" w:hAnsi="Arial" w:cs="Arial"/>
              </w:rPr>
              <w:t>19</w:t>
            </w:r>
          </w:p>
        </w:tc>
      </w:tr>
      <w:tr w:rsidR="00AB2BC5" w:rsidRPr="00F90DE8" w14:paraId="3BE57018" w14:textId="77777777" w:rsidTr="00947143">
        <w:trPr>
          <w:jc w:val="center"/>
        </w:trPr>
        <w:tc>
          <w:tcPr>
            <w:tcW w:w="1872" w:type="dxa"/>
          </w:tcPr>
          <w:p w14:paraId="1657E04D" w14:textId="398EC221" w:rsidR="00AB2BC5" w:rsidRPr="00F90DE8" w:rsidRDefault="00AB2BC5" w:rsidP="00947143">
            <w:pPr>
              <w:rPr>
                <w:rFonts w:ascii="Arial" w:hAnsi="Arial" w:cs="Arial"/>
              </w:rPr>
            </w:pPr>
            <w:r w:rsidRPr="461FFA0E">
              <w:rPr>
                <w:rFonts w:ascii="Arial" w:hAnsi="Arial" w:cs="Arial"/>
              </w:rPr>
              <w:t>physical therapy</w:t>
            </w:r>
          </w:p>
        </w:tc>
        <w:tc>
          <w:tcPr>
            <w:tcW w:w="1872" w:type="dxa"/>
          </w:tcPr>
          <w:p w14:paraId="4444A205" w14:textId="77777777" w:rsidR="00AB2BC5" w:rsidRPr="00F90DE8" w:rsidRDefault="00AB2BC5" w:rsidP="00947143">
            <w:pPr>
              <w:rPr>
                <w:rFonts w:ascii="Arial" w:hAnsi="Arial" w:cs="Arial"/>
              </w:rPr>
            </w:pPr>
            <w:r w:rsidRPr="00F90DE8">
              <w:rPr>
                <w:rFonts w:ascii="Arial" w:hAnsi="Arial" w:cs="Arial"/>
              </w:rPr>
              <w:t>10</w:t>
            </w:r>
          </w:p>
        </w:tc>
        <w:tc>
          <w:tcPr>
            <w:tcW w:w="1014" w:type="dxa"/>
          </w:tcPr>
          <w:p w14:paraId="18086E90" w14:textId="77777777" w:rsidR="00AB2BC5" w:rsidRPr="00F90DE8" w:rsidRDefault="00AB2BC5" w:rsidP="00947143">
            <w:pPr>
              <w:rPr>
                <w:rFonts w:ascii="Arial" w:hAnsi="Arial" w:cs="Arial"/>
              </w:rPr>
            </w:pPr>
          </w:p>
        </w:tc>
        <w:tc>
          <w:tcPr>
            <w:tcW w:w="2730" w:type="dxa"/>
          </w:tcPr>
          <w:p w14:paraId="16864E80" w14:textId="77777777" w:rsidR="00AB2BC5" w:rsidRPr="00F90DE8" w:rsidRDefault="00AB2BC5" w:rsidP="00947143">
            <w:pPr>
              <w:rPr>
                <w:rFonts w:ascii="Arial" w:hAnsi="Arial" w:cs="Arial"/>
              </w:rPr>
            </w:pPr>
            <w:r w:rsidRPr="00F90DE8">
              <w:rPr>
                <w:rFonts w:ascii="Arial" w:hAnsi="Arial" w:cs="Arial"/>
              </w:rPr>
              <w:t>fieldwork preceptor</w:t>
            </w:r>
          </w:p>
        </w:tc>
        <w:tc>
          <w:tcPr>
            <w:tcW w:w="1872" w:type="dxa"/>
          </w:tcPr>
          <w:p w14:paraId="397E4337" w14:textId="77777777" w:rsidR="00AB2BC5" w:rsidRPr="00F90DE8" w:rsidRDefault="00AB2BC5" w:rsidP="00947143">
            <w:pPr>
              <w:rPr>
                <w:rFonts w:ascii="Arial" w:hAnsi="Arial" w:cs="Arial"/>
              </w:rPr>
            </w:pPr>
            <w:r w:rsidRPr="00F90DE8">
              <w:rPr>
                <w:rFonts w:ascii="Arial" w:hAnsi="Arial" w:cs="Arial"/>
              </w:rPr>
              <w:t>3</w:t>
            </w:r>
          </w:p>
        </w:tc>
      </w:tr>
      <w:tr w:rsidR="00AB2BC5" w:rsidRPr="00F90DE8" w14:paraId="0D58DDCA" w14:textId="77777777" w:rsidTr="00947143">
        <w:trPr>
          <w:jc w:val="center"/>
        </w:trPr>
        <w:tc>
          <w:tcPr>
            <w:tcW w:w="1872" w:type="dxa"/>
          </w:tcPr>
          <w:p w14:paraId="6C0A1DC3" w14:textId="698F4D20" w:rsidR="00AB2BC5" w:rsidRPr="00F90DE8" w:rsidRDefault="00AB2BC5" w:rsidP="00947143">
            <w:pPr>
              <w:rPr>
                <w:rFonts w:ascii="Arial" w:hAnsi="Arial" w:cs="Arial"/>
              </w:rPr>
            </w:pPr>
            <w:r w:rsidRPr="461FFA0E">
              <w:rPr>
                <w:rFonts w:ascii="Arial" w:hAnsi="Arial" w:cs="Arial"/>
              </w:rPr>
              <w:t>sports medicine</w:t>
            </w:r>
          </w:p>
        </w:tc>
        <w:tc>
          <w:tcPr>
            <w:tcW w:w="1872" w:type="dxa"/>
          </w:tcPr>
          <w:p w14:paraId="5B24A1E6" w14:textId="77777777" w:rsidR="00AB2BC5" w:rsidRPr="00F90DE8" w:rsidRDefault="00AB2BC5" w:rsidP="00947143">
            <w:pPr>
              <w:rPr>
                <w:rFonts w:ascii="Arial" w:hAnsi="Arial" w:cs="Arial"/>
              </w:rPr>
            </w:pPr>
            <w:r w:rsidRPr="00F90DE8">
              <w:rPr>
                <w:rFonts w:ascii="Arial" w:hAnsi="Arial" w:cs="Arial"/>
              </w:rPr>
              <w:t>2</w:t>
            </w:r>
          </w:p>
        </w:tc>
        <w:tc>
          <w:tcPr>
            <w:tcW w:w="1014" w:type="dxa"/>
          </w:tcPr>
          <w:p w14:paraId="2763C94D" w14:textId="77777777" w:rsidR="00AB2BC5" w:rsidRPr="00F90DE8" w:rsidRDefault="00AB2BC5" w:rsidP="00947143">
            <w:pPr>
              <w:rPr>
                <w:rFonts w:ascii="Arial" w:hAnsi="Arial" w:cs="Arial"/>
              </w:rPr>
            </w:pPr>
          </w:p>
        </w:tc>
        <w:tc>
          <w:tcPr>
            <w:tcW w:w="2730" w:type="dxa"/>
          </w:tcPr>
          <w:p w14:paraId="3A2E5328" w14:textId="77777777" w:rsidR="00AB2BC5" w:rsidRPr="00F90DE8" w:rsidRDefault="00AB2BC5" w:rsidP="00947143">
            <w:pPr>
              <w:rPr>
                <w:rFonts w:ascii="Arial" w:hAnsi="Arial" w:cs="Arial"/>
              </w:rPr>
            </w:pPr>
            <w:r w:rsidRPr="00F90DE8">
              <w:rPr>
                <w:rFonts w:ascii="Arial" w:hAnsi="Arial" w:cs="Arial"/>
              </w:rPr>
              <w:t>other</w:t>
            </w:r>
          </w:p>
        </w:tc>
        <w:tc>
          <w:tcPr>
            <w:tcW w:w="1872" w:type="dxa"/>
          </w:tcPr>
          <w:p w14:paraId="1E390A9D" w14:textId="77777777" w:rsidR="00AB2BC5" w:rsidRPr="00F90DE8" w:rsidRDefault="00AB2BC5" w:rsidP="00947143">
            <w:pPr>
              <w:rPr>
                <w:rFonts w:ascii="Arial" w:hAnsi="Arial" w:cs="Arial"/>
              </w:rPr>
            </w:pPr>
            <w:r w:rsidRPr="00F90DE8">
              <w:rPr>
                <w:rFonts w:ascii="Arial" w:hAnsi="Arial" w:cs="Arial"/>
              </w:rPr>
              <w:t>29</w:t>
            </w:r>
          </w:p>
        </w:tc>
      </w:tr>
      <w:tr w:rsidR="00AB2BC5" w:rsidRPr="00F90DE8" w14:paraId="4D1AC3AA" w14:textId="77777777" w:rsidTr="00947143">
        <w:trPr>
          <w:jc w:val="center"/>
        </w:trPr>
        <w:tc>
          <w:tcPr>
            <w:tcW w:w="1872" w:type="dxa"/>
          </w:tcPr>
          <w:p w14:paraId="25413D11" w14:textId="195EEBF8" w:rsidR="00AB2BC5" w:rsidRPr="00F90DE8" w:rsidRDefault="00AB2BC5" w:rsidP="00947143">
            <w:pPr>
              <w:rPr>
                <w:rFonts w:ascii="Arial" w:hAnsi="Arial" w:cs="Arial"/>
              </w:rPr>
            </w:pPr>
            <w:r w:rsidRPr="461FFA0E">
              <w:rPr>
                <w:rFonts w:ascii="Arial" w:hAnsi="Arial" w:cs="Arial"/>
              </w:rPr>
              <w:t>masters of public health</w:t>
            </w:r>
          </w:p>
        </w:tc>
        <w:tc>
          <w:tcPr>
            <w:tcW w:w="1872" w:type="dxa"/>
          </w:tcPr>
          <w:p w14:paraId="52D06EDF" w14:textId="77777777" w:rsidR="00AB2BC5" w:rsidRPr="00F90DE8" w:rsidRDefault="00AB2BC5" w:rsidP="00947143">
            <w:pPr>
              <w:rPr>
                <w:rFonts w:ascii="Arial" w:hAnsi="Arial" w:cs="Arial"/>
              </w:rPr>
            </w:pPr>
            <w:r w:rsidRPr="00F90DE8">
              <w:rPr>
                <w:rFonts w:ascii="Arial" w:hAnsi="Arial" w:cs="Arial"/>
              </w:rPr>
              <w:t>3</w:t>
            </w:r>
          </w:p>
        </w:tc>
        <w:tc>
          <w:tcPr>
            <w:tcW w:w="1014" w:type="dxa"/>
          </w:tcPr>
          <w:p w14:paraId="213A359C" w14:textId="77777777" w:rsidR="00AB2BC5" w:rsidRPr="00F90DE8" w:rsidRDefault="00AB2BC5" w:rsidP="00947143">
            <w:pPr>
              <w:rPr>
                <w:rFonts w:ascii="Arial" w:hAnsi="Arial" w:cs="Arial"/>
              </w:rPr>
            </w:pPr>
          </w:p>
        </w:tc>
        <w:tc>
          <w:tcPr>
            <w:tcW w:w="2730" w:type="dxa"/>
          </w:tcPr>
          <w:p w14:paraId="512757EB" w14:textId="77777777" w:rsidR="00AB2BC5" w:rsidRPr="00F90DE8" w:rsidRDefault="00AB2BC5" w:rsidP="00947143">
            <w:pPr>
              <w:rPr>
                <w:rFonts w:ascii="Arial" w:hAnsi="Arial" w:cs="Arial"/>
              </w:rPr>
            </w:pPr>
          </w:p>
        </w:tc>
        <w:tc>
          <w:tcPr>
            <w:tcW w:w="1872" w:type="dxa"/>
          </w:tcPr>
          <w:p w14:paraId="6D64BFB0" w14:textId="77777777" w:rsidR="00AB2BC5" w:rsidRPr="00F90DE8" w:rsidRDefault="00AB2BC5" w:rsidP="00947143">
            <w:pPr>
              <w:rPr>
                <w:rFonts w:ascii="Arial" w:hAnsi="Arial" w:cs="Arial"/>
              </w:rPr>
            </w:pPr>
          </w:p>
        </w:tc>
      </w:tr>
      <w:tr w:rsidR="00AB2BC5" w:rsidRPr="00F90DE8" w14:paraId="6055878B" w14:textId="77777777" w:rsidTr="00947143">
        <w:trPr>
          <w:jc w:val="center"/>
        </w:trPr>
        <w:tc>
          <w:tcPr>
            <w:tcW w:w="1872" w:type="dxa"/>
          </w:tcPr>
          <w:p w14:paraId="16D12CFF" w14:textId="34BA4F58" w:rsidR="00AB2BC5" w:rsidRPr="00F90DE8" w:rsidRDefault="00AB2BC5" w:rsidP="00947143">
            <w:pPr>
              <w:rPr>
                <w:rFonts w:ascii="Arial" w:hAnsi="Arial" w:cs="Arial"/>
              </w:rPr>
            </w:pPr>
            <w:r w:rsidRPr="461FFA0E">
              <w:rPr>
                <w:rFonts w:ascii="Arial" w:hAnsi="Arial" w:cs="Arial"/>
              </w:rPr>
              <w:t>physician assistant</w:t>
            </w:r>
          </w:p>
        </w:tc>
        <w:tc>
          <w:tcPr>
            <w:tcW w:w="1872" w:type="dxa"/>
          </w:tcPr>
          <w:p w14:paraId="71B7FD1D" w14:textId="77777777" w:rsidR="00AB2BC5" w:rsidRPr="00F90DE8" w:rsidRDefault="00AB2BC5" w:rsidP="00947143">
            <w:pPr>
              <w:rPr>
                <w:rFonts w:ascii="Arial" w:hAnsi="Arial" w:cs="Arial"/>
              </w:rPr>
            </w:pPr>
            <w:r w:rsidRPr="00F90DE8">
              <w:rPr>
                <w:rFonts w:ascii="Arial" w:hAnsi="Arial" w:cs="Arial"/>
              </w:rPr>
              <w:t>2</w:t>
            </w:r>
          </w:p>
        </w:tc>
        <w:tc>
          <w:tcPr>
            <w:tcW w:w="1014" w:type="dxa"/>
          </w:tcPr>
          <w:p w14:paraId="3A763081" w14:textId="77777777" w:rsidR="00AB2BC5" w:rsidRPr="00F90DE8" w:rsidRDefault="00AB2BC5" w:rsidP="00947143">
            <w:pPr>
              <w:rPr>
                <w:rFonts w:ascii="Arial" w:hAnsi="Arial" w:cs="Arial"/>
              </w:rPr>
            </w:pPr>
          </w:p>
        </w:tc>
        <w:tc>
          <w:tcPr>
            <w:tcW w:w="2730" w:type="dxa"/>
          </w:tcPr>
          <w:p w14:paraId="632F9F26" w14:textId="77777777" w:rsidR="00AB2BC5" w:rsidRPr="00F90DE8" w:rsidRDefault="00AB2BC5" w:rsidP="00947143">
            <w:pPr>
              <w:rPr>
                <w:rFonts w:ascii="Arial" w:hAnsi="Arial" w:cs="Arial"/>
              </w:rPr>
            </w:pPr>
          </w:p>
        </w:tc>
        <w:tc>
          <w:tcPr>
            <w:tcW w:w="1872" w:type="dxa"/>
          </w:tcPr>
          <w:p w14:paraId="34F9704A" w14:textId="77777777" w:rsidR="00AB2BC5" w:rsidRPr="00F90DE8" w:rsidRDefault="00AB2BC5" w:rsidP="00947143">
            <w:pPr>
              <w:rPr>
                <w:rFonts w:ascii="Arial" w:hAnsi="Arial" w:cs="Arial"/>
              </w:rPr>
            </w:pPr>
          </w:p>
        </w:tc>
      </w:tr>
      <w:tr w:rsidR="00AB2BC5" w:rsidRPr="00F90DE8" w14:paraId="07A9B64A" w14:textId="77777777" w:rsidTr="00947143">
        <w:trPr>
          <w:jc w:val="center"/>
        </w:trPr>
        <w:tc>
          <w:tcPr>
            <w:tcW w:w="1872" w:type="dxa"/>
          </w:tcPr>
          <w:p w14:paraId="4C3DD655" w14:textId="77777777" w:rsidR="00AB2BC5" w:rsidRPr="00F90DE8" w:rsidRDefault="00AB2BC5" w:rsidP="00947143">
            <w:pPr>
              <w:rPr>
                <w:rFonts w:ascii="Arial" w:hAnsi="Arial" w:cs="Arial"/>
              </w:rPr>
            </w:pPr>
            <w:r w:rsidRPr="00F90DE8">
              <w:rPr>
                <w:rFonts w:ascii="Arial" w:hAnsi="Arial" w:cs="Arial"/>
              </w:rPr>
              <w:t>biomedical</w:t>
            </w:r>
          </w:p>
        </w:tc>
        <w:tc>
          <w:tcPr>
            <w:tcW w:w="1872" w:type="dxa"/>
          </w:tcPr>
          <w:p w14:paraId="7B5457DD" w14:textId="77777777" w:rsidR="00AB2BC5" w:rsidRPr="00F90DE8" w:rsidRDefault="00AB2BC5" w:rsidP="00947143">
            <w:pPr>
              <w:rPr>
                <w:rFonts w:ascii="Arial" w:hAnsi="Arial" w:cs="Arial"/>
              </w:rPr>
            </w:pPr>
            <w:r w:rsidRPr="00F90DE8">
              <w:rPr>
                <w:rFonts w:ascii="Arial" w:hAnsi="Arial" w:cs="Arial"/>
              </w:rPr>
              <w:t>6</w:t>
            </w:r>
          </w:p>
        </w:tc>
        <w:tc>
          <w:tcPr>
            <w:tcW w:w="1014" w:type="dxa"/>
          </w:tcPr>
          <w:p w14:paraId="6DBBA315" w14:textId="77777777" w:rsidR="00AB2BC5" w:rsidRPr="00F90DE8" w:rsidRDefault="00AB2BC5" w:rsidP="00947143">
            <w:pPr>
              <w:rPr>
                <w:rFonts w:ascii="Arial" w:hAnsi="Arial" w:cs="Arial"/>
              </w:rPr>
            </w:pPr>
          </w:p>
        </w:tc>
        <w:tc>
          <w:tcPr>
            <w:tcW w:w="2730" w:type="dxa"/>
          </w:tcPr>
          <w:p w14:paraId="526C48C0" w14:textId="77777777" w:rsidR="00AB2BC5" w:rsidRPr="00F90DE8" w:rsidRDefault="00AB2BC5" w:rsidP="00947143">
            <w:pPr>
              <w:rPr>
                <w:rFonts w:ascii="Arial" w:hAnsi="Arial" w:cs="Arial"/>
              </w:rPr>
            </w:pPr>
          </w:p>
        </w:tc>
        <w:tc>
          <w:tcPr>
            <w:tcW w:w="1872" w:type="dxa"/>
          </w:tcPr>
          <w:p w14:paraId="1F2FCBCA" w14:textId="77777777" w:rsidR="00AB2BC5" w:rsidRPr="00F90DE8" w:rsidRDefault="00AB2BC5" w:rsidP="00947143">
            <w:pPr>
              <w:rPr>
                <w:rFonts w:ascii="Arial" w:hAnsi="Arial" w:cs="Arial"/>
              </w:rPr>
            </w:pPr>
          </w:p>
        </w:tc>
      </w:tr>
      <w:tr w:rsidR="00AB2BC5" w:rsidRPr="00F90DE8" w14:paraId="0D60F97D" w14:textId="77777777" w:rsidTr="00947143">
        <w:trPr>
          <w:jc w:val="center"/>
        </w:trPr>
        <w:tc>
          <w:tcPr>
            <w:tcW w:w="1872" w:type="dxa"/>
          </w:tcPr>
          <w:p w14:paraId="14C2E750" w14:textId="77777777" w:rsidR="00AB2BC5" w:rsidRPr="00F90DE8" w:rsidRDefault="00AB2BC5" w:rsidP="00947143">
            <w:pPr>
              <w:rPr>
                <w:rFonts w:ascii="Arial" w:hAnsi="Arial" w:cs="Arial"/>
              </w:rPr>
            </w:pPr>
            <w:r w:rsidRPr="00F90DE8">
              <w:rPr>
                <w:rFonts w:ascii="Arial" w:hAnsi="Arial" w:cs="Arial"/>
              </w:rPr>
              <w:t>social work</w:t>
            </w:r>
          </w:p>
        </w:tc>
        <w:tc>
          <w:tcPr>
            <w:tcW w:w="1872" w:type="dxa"/>
          </w:tcPr>
          <w:p w14:paraId="1430A4E8" w14:textId="77777777" w:rsidR="00AB2BC5" w:rsidRPr="00F90DE8" w:rsidRDefault="00AB2BC5" w:rsidP="00947143">
            <w:pPr>
              <w:rPr>
                <w:rFonts w:ascii="Arial" w:hAnsi="Arial" w:cs="Arial"/>
              </w:rPr>
            </w:pPr>
            <w:r w:rsidRPr="00F90DE8">
              <w:rPr>
                <w:rFonts w:ascii="Arial" w:hAnsi="Arial" w:cs="Arial"/>
              </w:rPr>
              <w:t>4</w:t>
            </w:r>
          </w:p>
        </w:tc>
        <w:tc>
          <w:tcPr>
            <w:tcW w:w="1014" w:type="dxa"/>
          </w:tcPr>
          <w:p w14:paraId="29331EA4" w14:textId="77777777" w:rsidR="00AB2BC5" w:rsidRPr="00F90DE8" w:rsidRDefault="00AB2BC5" w:rsidP="00947143">
            <w:pPr>
              <w:rPr>
                <w:rFonts w:ascii="Arial" w:hAnsi="Arial" w:cs="Arial"/>
              </w:rPr>
            </w:pPr>
          </w:p>
        </w:tc>
        <w:tc>
          <w:tcPr>
            <w:tcW w:w="2730" w:type="dxa"/>
          </w:tcPr>
          <w:p w14:paraId="292B428F" w14:textId="77777777" w:rsidR="00AB2BC5" w:rsidRPr="00F90DE8" w:rsidRDefault="00AB2BC5" w:rsidP="00947143">
            <w:pPr>
              <w:rPr>
                <w:rFonts w:ascii="Arial" w:hAnsi="Arial" w:cs="Arial"/>
              </w:rPr>
            </w:pPr>
          </w:p>
        </w:tc>
        <w:tc>
          <w:tcPr>
            <w:tcW w:w="1872" w:type="dxa"/>
          </w:tcPr>
          <w:p w14:paraId="7BA53EA3" w14:textId="77777777" w:rsidR="00AB2BC5" w:rsidRPr="00F90DE8" w:rsidRDefault="00AB2BC5" w:rsidP="00947143">
            <w:pPr>
              <w:rPr>
                <w:rFonts w:ascii="Arial" w:hAnsi="Arial" w:cs="Arial"/>
              </w:rPr>
            </w:pPr>
          </w:p>
        </w:tc>
      </w:tr>
      <w:tr w:rsidR="00AB2BC5" w:rsidRPr="00F90DE8" w14:paraId="6FABA67D" w14:textId="77777777" w:rsidTr="00947143">
        <w:trPr>
          <w:jc w:val="center"/>
        </w:trPr>
        <w:tc>
          <w:tcPr>
            <w:tcW w:w="1872" w:type="dxa"/>
          </w:tcPr>
          <w:p w14:paraId="5C4FF711" w14:textId="77777777" w:rsidR="00AB2BC5" w:rsidRPr="00F90DE8" w:rsidRDefault="00AB2BC5" w:rsidP="00947143">
            <w:pPr>
              <w:rPr>
                <w:rFonts w:ascii="Arial" w:hAnsi="Arial" w:cs="Arial"/>
              </w:rPr>
            </w:pPr>
            <w:r w:rsidRPr="00F90DE8">
              <w:rPr>
                <w:rFonts w:ascii="Arial" w:hAnsi="Arial" w:cs="Arial"/>
              </w:rPr>
              <w:t>other**</w:t>
            </w:r>
          </w:p>
        </w:tc>
        <w:tc>
          <w:tcPr>
            <w:tcW w:w="1872" w:type="dxa"/>
          </w:tcPr>
          <w:p w14:paraId="02C62C09" w14:textId="77777777" w:rsidR="00AB2BC5" w:rsidRPr="00F90DE8" w:rsidRDefault="00AB2BC5" w:rsidP="00947143">
            <w:pPr>
              <w:rPr>
                <w:rFonts w:ascii="Arial" w:hAnsi="Arial" w:cs="Arial"/>
              </w:rPr>
            </w:pPr>
            <w:r w:rsidRPr="00F90DE8">
              <w:rPr>
                <w:rFonts w:ascii="Arial" w:hAnsi="Arial" w:cs="Arial"/>
              </w:rPr>
              <w:t>46</w:t>
            </w:r>
          </w:p>
        </w:tc>
        <w:tc>
          <w:tcPr>
            <w:tcW w:w="1014" w:type="dxa"/>
          </w:tcPr>
          <w:p w14:paraId="0793F51E" w14:textId="77777777" w:rsidR="00AB2BC5" w:rsidRPr="00F90DE8" w:rsidRDefault="00AB2BC5" w:rsidP="00947143">
            <w:pPr>
              <w:rPr>
                <w:rFonts w:ascii="Arial" w:hAnsi="Arial" w:cs="Arial"/>
              </w:rPr>
            </w:pPr>
          </w:p>
        </w:tc>
        <w:tc>
          <w:tcPr>
            <w:tcW w:w="2730" w:type="dxa"/>
          </w:tcPr>
          <w:p w14:paraId="522F3AF2" w14:textId="77777777" w:rsidR="00AB2BC5" w:rsidRPr="00F90DE8" w:rsidRDefault="00AB2BC5" w:rsidP="00947143">
            <w:pPr>
              <w:rPr>
                <w:rFonts w:ascii="Arial" w:hAnsi="Arial" w:cs="Arial"/>
              </w:rPr>
            </w:pPr>
          </w:p>
        </w:tc>
        <w:tc>
          <w:tcPr>
            <w:tcW w:w="1872" w:type="dxa"/>
          </w:tcPr>
          <w:p w14:paraId="78F5257A" w14:textId="77777777" w:rsidR="00AB2BC5" w:rsidRPr="00F90DE8" w:rsidRDefault="00AB2BC5" w:rsidP="00947143">
            <w:pPr>
              <w:rPr>
                <w:rFonts w:ascii="Arial" w:hAnsi="Arial" w:cs="Arial"/>
              </w:rPr>
            </w:pPr>
          </w:p>
        </w:tc>
      </w:tr>
    </w:tbl>
    <w:p w14:paraId="4BC9937F" w14:textId="77777777" w:rsidR="00313CE4" w:rsidRDefault="00313CE4" w:rsidP="00AB2BC5"/>
    <w:p w14:paraId="271EFC47" w14:textId="7BC83C98" w:rsidR="00AB2BC5" w:rsidRDefault="00AB2BC5" w:rsidP="00AB2BC5">
      <w:r w:rsidRPr="00F90DE8">
        <w:t>*we define “graduate” as including pre-residency medical school students</w:t>
      </w:r>
    </w:p>
    <w:p w14:paraId="261E845A" w14:textId="77777777" w:rsidR="00313CE4" w:rsidRPr="00F90DE8" w:rsidRDefault="00313CE4" w:rsidP="00AB2BC5"/>
    <w:p w14:paraId="6AC0F4CD" w14:textId="0F2C47C8" w:rsidR="00AB2BC5" w:rsidRDefault="00AB2BC5" w:rsidP="00AB2BC5">
      <w:r w:rsidRPr="00F90DE8">
        <w:t>**“other” code included: veterinary, generic health sciences, dentistry, engineering, pharmacy, sociology, midwifery, speech language pathology, dietetics, law, optometry, biological sciences, biomedical, biochemistry, bioinformatics, biopharmaceutical, psychiatry, biomedical engineering, etc.</w:t>
      </w:r>
    </w:p>
    <w:p w14:paraId="30CA7290" w14:textId="77777777" w:rsidR="00313CE4" w:rsidRPr="00F90DE8" w:rsidRDefault="00313CE4" w:rsidP="00AB2BC5"/>
    <w:p w14:paraId="077C417B" w14:textId="77777777" w:rsidR="00AB2BC5" w:rsidRPr="00AB2BC5" w:rsidRDefault="00AB2BC5" w:rsidP="00AB2BC5">
      <w:pPr>
        <w:spacing w:before="80" w:after="120"/>
        <w:rPr>
          <w:b/>
          <w:bCs/>
          <w:sz w:val="24"/>
          <w:szCs w:val="24"/>
        </w:rPr>
      </w:pPr>
      <w:r w:rsidRPr="00F90DE8">
        <w:rPr>
          <w:b/>
          <w:bCs/>
          <w:sz w:val="24"/>
          <w:szCs w:val="24"/>
        </w:rPr>
        <w:t>3.2 Frameworks</w:t>
      </w:r>
    </w:p>
    <w:p w14:paraId="44E8B977" w14:textId="6199CCE9" w:rsidR="00AB2BC5" w:rsidRDefault="00AB2BC5" w:rsidP="00AB2BC5">
      <w:r w:rsidRPr="00F90DE8">
        <w:t xml:space="preserve">Our coding of IL frameworks reflects any reference to a framework, even if it was in passing and not explicitly instrumental in the presented research or curriculum/a. Within our set of articles focused on IL curricula, the use of IL frameworks was not pervasive: out of 127 articles, a large portion reference no IL frameworks (n=41, 32%). Overall, the ACRL Standards were referenced most often (n=29, 28%), followed by the ACRL Framework (n=20, 16%). </w:t>
      </w:r>
    </w:p>
    <w:p w14:paraId="6456F53D" w14:textId="77777777" w:rsidR="00313CE4" w:rsidRPr="00F90DE8" w:rsidRDefault="00313CE4" w:rsidP="00AB2BC5">
      <w:pPr>
        <w:rPr>
          <w:rFonts w:eastAsiaTheme="minorEastAsia"/>
        </w:rPr>
      </w:pPr>
    </w:p>
    <w:p w14:paraId="2F1FE366" w14:textId="770B02E4" w:rsidR="00AB2BC5" w:rsidRDefault="00AB2BC5" w:rsidP="00AB2BC5">
      <w:r w:rsidRPr="00F90DE8">
        <w:t>We discovered a comparable split between references to the ACRL Standards and Framework across time: 12 of the 56 articles (21%) published in 2014 or earlier reference the Standards, while 20 of the 71 (28%) published in 2016 or later reference the Framework. Five of the 10 articles published in 2015 continue to reference the older Standards, with just one of those five simultaneously referencing the newly announced Framework. In 2016 or later, there are two instances of articles referencing the older Standards but not the newer Framework, and both of these articles were published in 2018 (Russell et al., 2018; Schweikhard et al., 2018).</w:t>
      </w:r>
    </w:p>
    <w:p w14:paraId="7C7AEDF2" w14:textId="77777777" w:rsidR="00313CE4" w:rsidRPr="00F90DE8" w:rsidRDefault="00313CE4" w:rsidP="00AB2BC5"/>
    <w:p w14:paraId="7563795F" w14:textId="13074657" w:rsidR="00AB2BC5" w:rsidRDefault="00AB2BC5" w:rsidP="00AB2BC5">
      <w:r w:rsidRPr="00F90DE8">
        <w:lastRenderedPageBreak/>
        <w:t>Similarly, the number of articles referencing no frameworks at all is comparable across these two decades, with 20 of the 56 (36%) published between 2010 and 2014 and 19 of the 71 (27%) published between 2015 and 2020 referencing no IL frameworks at all.</w:t>
      </w:r>
    </w:p>
    <w:p w14:paraId="192240F7" w14:textId="77777777" w:rsidR="00313CE4" w:rsidRPr="00F90DE8" w:rsidRDefault="00313CE4" w:rsidP="00AB2BC5"/>
    <w:p w14:paraId="6DB92D12" w14:textId="2172A970" w:rsidR="00AB2BC5" w:rsidRPr="00313CE4" w:rsidRDefault="00AB2BC5" w:rsidP="00313CE4">
      <w:pPr>
        <w:rPr>
          <w:rFonts w:ascii="Calibri" w:eastAsia="Calibri" w:hAnsi="Calibri" w:cs="Calibri"/>
        </w:rPr>
      </w:pPr>
      <w:r w:rsidRPr="00313CE4">
        <w:rPr>
          <w:b/>
          <w:bCs/>
        </w:rPr>
        <w:t>Figure 2</w:t>
      </w:r>
      <w:r w:rsidRPr="00313CE4">
        <w:t>: IL framework of choice*</w:t>
      </w:r>
    </w:p>
    <w:p w14:paraId="7402F782" w14:textId="77777777" w:rsidR="00AB2BC5" w:rsidRPr="00F90DE8" w:rsidRDefault="00AB2BC5" w:rsidP="00AB2BC5">
      <w:pPr>
        <w:jc w:val="center"/>
      </w:pPr>
      <w:r>
        <w:rPr>
          <w:noProof/>
        </w:rPr>
        <w:drawing>
          <wp:inline distT="0" distB="0" distL="0" distR="0" wp14:anchorId="50D040B4" wp14:editId="12E4E93C">
            <wp:extent cx="5943600" cy="3162935"/>
            <wp:effectExtent l="0" t="0" r="0" b="18415"/>
            <wp:docPr id="7" name="Chart 7" descr="Bar chart showing IL frameworks against number of times a framework is included in articles.">
              <a:extLst xmlns:a="http://schemas.openxmlformats.org/drawingml/2006/main">
                <a:ext uri="{FF2B5EF4-FFF2-40B4-BE49-F238E27FC236}">
                  <a16:creationId xmlns:a16="http://schemas.microsoft.com/office/drawing/2014/main" id="{94A4BA06-9AB9-4062-8307-C17635CF57EC}"/>
                </a:ext>
                <a:ext uri="{147F2762-F138-4A5C-976F-8EAC2B608ADB}">
                  <a16:predDERef xmlns:a16="http://schemas.microsoft.com/office/drawing/2014/main" pred="{6EFCD40A-229B-4D89-8620-C115BF023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0DE2CB0" w14:textId="46DAF638" w:rsidR="00AB2BC5" w:rsidRDefault="00AB2BC5" w:rsidP="00AB2BC5">
      <w:r w:rsidRPr="00F90DE8">
        <w:t>*articles could be coded multiple times for referencing multiple codes, total framework codes: 225</w:t>
      </w:r>
    </w:p>
    <w:p w14:paraId="59249596" w14:textId="77777777" w:rsidR="00313CE4" w:rsidRDefault="00313CE4" w:rsidP="00AB2BC5"/>
    <w:p w14:paraId="56653C85" w14:textId="77777777" w:rsidR="00AB2BC5" w:rsidRPr="00F90DE8" w:rsidRDefault="00AB2BC5" w:rsidP="00AB2BC5">
      <w:r>
        <w:t xml:space="preserve">Acronyms: ACRL: Association of College and Research Libraries (United States); ANCIL: A New Curriculum for Information Literacy (United Kingdom); ANZIL: Australian and New Zealand Information Literacy Framework (New Zealand); CILIP: Chartered Institute of Library and Information Professionals (United Kingdom); SCONUL: Society of College, National, and University Libraries Seven Pillars of Information Literacy Framework (United Kingdom); RSD: Research Skill Development Framework (Australia); AAMC: Association of American Medical Colleges (United States); EBP/M/N: Evidence-based Practice/Medicine/Nursing </w:t>
      </w:r>
      <w:r w:rsidRPr="00965C3D">
        <w:t>(United States)</w:t>
      </w:r>
      <w:r>
        <w:t xml:space="preserve">; LCME: Liaison Committee on Medical Education </w:t>
      </w:r>
      <w:r w:rsidRPr="00965C3D">
        <w:t>(United States)</w:t>
      </w:r>
    </w:p>
    <w:p w14:paraId="64BE7A65" w14:textId="77777777" w:rsidR="00313CE4" w:rsidRDefault="00313CE4" w:rsidP="00AB2BC5"/>
    <w:p w14:paraId="04CF9954" w14:textId="6B8B9420" w:rsidR="00AB2BC5" w:rsidRPr="00F90DE8" w:rsidRDefault="00AB2BC5" w:rsidP="00AB2BC5">
      <w:r w:rsidRPr="00F90DE8">
        <w:t xml:space="preserve">Several other IL frameworks were referenced, including ANCIL (n=1, 0.4%), ANZIL (n=5, 2%), the BIG 6 (n=3, 1%), CILIP (n=4, 2%), and SCONUL (n=13, 6%), though not at rates anywhere near comparable to the ACRL IL Standards (n=29, 13%) and Framework (n=20, 9%) (percentages in this sentence are based on the 225 total codes marked for frameworks, rather than the 127 articles in the final dataset). The Research Skill Development Framework </w:t>
      </w:r>
      <w:r w:rsidRPr="461FFA0E">
        <w:t xml:space="preserve">(RSD) </w:t>
      </w:r>
      <w:r w:rsidRPr="00F90DE8">
        <w:t>was not referenced in any article.</w:t>
      </w:r>
    </w:p>
    <w:p w14:paraId="60279177" w14:textId="77777777" w:rsidR="00313CE4" w:rsidRDefault="00313CE4" w:rsidP="00AB2BC5"/>
    <w:p w14:paraId="2B39EB48" w14:textId="7A6A6EBF" w:rsidR="00AB2BC5" w:rsidRPr="00F90DE8" w:rsidRDefault="00AB2BC5" w:rsidP="00AB2BC5">
      <w:pPr>
        <w:rPr>
          <w:rFonts w:eastAsiaTheme="minorEastAsia"/>
        </w:rPr>
      </w:pPr>
      <w:r w:rsidRPr="00F90DE8">
        <w:t>Frameworks from outside of librarianship or the IL literature were used with regularity to map or plan IL curricula. Indeed, if Evidence Based Practice (EBP), including its Evidence Based Medicine or Nursing permutations, were counted as one IL framework, then that would be the single most popular framework of all (n=31, 14%), referenced in two more articles than the ACRL Standards, the most-used IL framework.</w:t>
      </w:r>
    </w:p>
    <w:p w14:paraId="6BE1BB72" w14:textId="77777777" w:rsidR="00313CE4" w:rsidRDefault="00313CE4" w:rsidP="00AB2BC5"/>
    <w:p w14:paraId="6803F2BC" w14:textId="69047AA3" w:rsidR="00AB2BC5" w:rsidRPr="00F90DE8" w:rsidRDefault="00AB2BC5" w:rsidP="00AB2BC5">
      <w:r w:rsidRPr="00F90DE8">
        <w:t xml:space="preserve">There was an even higher number of references to numerous additional frameworks captured in an “other” column in our extraction instrument, (n=39, 18%), and a striking heterogeneity of </w:t>
      </w:r>
      <w:r w:rsidRPr="00F90DE8">
        <w:lastRenderedPageBreak/>
        <w:t>frameworks within this “other” code, from researcher-authored theoretical models (Kolstad, 2015) to university-specific (Brooks &amp; Bigelow, 2015) or government-issued frameworks of competencies (Ryba &amp; Pledger, 2016) being used alongside more traditional library frameworks to map or develop IL curricula.</w:t>
      </w:r>
    </w:p>
    <w:p w14:paraId="47A6EAC1" w14:textId="77777777" w:rsidR="00313CE4" w:rsidRDefault="00313CE4" w:rsidP="00AB2BC5"/>
    <w:p w14:paraId="7A83FE5E" w14:textId="0958CB89" w:rsidR="00AB2BC5" w:rsidRPr="00F90DE8" w:rsidRDefault="00AB2BC5" w:rsidP="00AB2BC5">
      <w:r w:rsidRPr="00F90DE8">
        <w:t>The “purpose of study” category was eliminated from our extraction instrument in favo</w:t>
      </w:r>
      <w:r w:rsidR="00D36803">
        <w:t>u</w:t>
      </w:r>
      <w:r w:rsidRPr="00F90DE8">
        <w:t xml:space="preserve">r of a “curriculum map” category, which was less reliant on interpretation because it required the article to contain a figure in which frameworks were literally mapped to instructional elements such as learning outcomes or classroom activities. Of the total 127 article set, 24 (19%) contain curriculum maps. Of these, 10 were published between 2010 and 2014 and 14 between 2015 and 2020. </w:t>
      </w:r>
    </w:p>
    <w:p w14:paraId="417F7563" w14:textId="77777777" w:rsidR="00313CE4" w:rsidRDefault="00313CE4" w:rsidP="00AB2BC5"/>
    <w:p w14:paraId="34C267D1" w14:textId="51C73539" w:rsidR="00AB2BC5" w:rsidRDefault="00AB2BC5" w:rsidP="00AB2BC5">
      <w:r w:rsidRPr="00F90DE8">
        <w:t xml:space="preserve">A majority of the 14 mapping articles published between 2015 and 2020 continue to use the older ACRL Standards (n=10, 41% of all curriculum-map possessing articles, 7% of total article set), with seven of these using the older Standards exclusive of other IL frameworks (n=7, 29% of all curriculum map-possessing articles, 5% of total article set). Only a small minority of articles published since 2015 use the ACRL Framework in their maps (n=4, 16% of curriculum map-possessing articles, 3% of total article set), and three of these additionally include the older Standards (n=3, 12% of curriculum map-possessing articles, 2% of total article set). </w:t>
      </w:r>
    </w:p>
    <w:p w14:paraId="6251B8E0" w14:textId="77777777" w:rsidR="00313CE4" w:rsidRPr="00F90DE8" w:rsidRDefault="00313CE4" w:rsidP="00AB2BC5"/>
    <w:p w14:paraId="21158695" w14:textId="14228889" w:rsidR="00AB2BC5" w:rsidRDefault="00AB2BC5" w:rsidP="00AB2BC5">
      <w:r w:rsidRPr="00313CE4">
        <w:rPr>
          <w:b/>
          <w:bCs/>
        </w:rPr>
        <w:t>Table 2</w:t>
      </w:r>
      <w:r w:rsidRPr="00313CE4">
        <w:t>: Articles with curriculum maps, frameworks, competencies, and measures</w:t>
      </w:r>
    </w:p>
    <w:tbl>
      <w:tblPr>
        <w:tblStyle w:val="PlainTable1"/>
        <w:tblW w:w="10294" w:type="dxa"/>
        <w:jc w:val="center"/>
        <w:tblLayout w:type="fixed"/>
        <w:tblLook w:val="04A0" w:firstRow="1" w:lastRow="0" w:firstColumn="1" w:lastColumn="0" w:noHBand="0" w:noVBand="1"/>
        <w:tblCaption w:val="Articles with curriculum maps, frameworks, competencies, and measures"/>
        <w:tblDescription w:val="Table showing articles with curriculum maps, plus the frameworks, competencies, and measures used in these curriculum maps. "/>
      </w:tblPr>
      <w:tblGrid>
        <w:gridCol w:w="1413"/>
        <w:gridCol w:w="850"/>
        <w:gridCol w:w="709"/>
        <w:gridCol w:w="567"/>
        <w:gridCol w:w="709"/>
        <w:gridCol w:w="850"/>
        <w:gridCol w:w="709"/>
        <w:gridCol w:w="851"/>
        <w:gridCol w:w="1275"/>
        <w:gridCol w:w="1701"/>
        <w:gridCol w:w="660"/>
      </w:tblGrid>
      <w:tr w:rsidR="00CA26F6" w:rsidRPr="00CA26F6" w14:paraId="58DD5E3D" w14:textId="77777777" w:rsidTr="00706C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F2F2F2"/>
            <w:vAlign w:val="center"/>
          </w:tcPr>
          <w:p w14:paraId="710251A1"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Articles with curriculum maps</w:t>
            </w:r>
          </w:p>
        </w:tc>
        <w:tc>
          <w:tcPr>
            <w:tcW w:w="8881" w:type="dxa"/>
            <w:gridSpan w:val="10"/>
            <w:vAlign w:val="center"/>
          </w:tcPr>
          <w:p w14:paraId="0102860D" w14:textId="77777777" w:rsidR="00CA26F6" w:rsidRPr="00CA26F6" w:rsidRDefault="00CA26F6" w:rsidP="00CA26F6">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Contents of curriculum maps: frameworks*, competencies, and measures</w:t>
            </w:r>
          </w:p>
        </w:tc>
      </w:tr>
      <w:tr w:rsidR="00CA26F6" w:rsidRPr="00CA26F6" w14:paraId="060144F8" w14:textId="77777777" w:rsidTr="00706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F7528DF"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article</w:t>
            </w:r>
          </w:p>
        </w:tc>
        <w:tc>
          <w:tcPr>
            <w:tcW w:w="850" w:type="dxa"/>
            <w:tcMar>
              <w:left w:w="0" w:type="dxa"/>
              <w:right w:w="0" w:type="dxa"/>
            </w:tcMar>
            <w:vAlign w:val="center"/>
          </w:tcPr>
          <w:p w14:paraId="0CADC8BC" w14:textId="77777777" w:rsidR="00CA26F6" w:rsidRPr="00CA26F6" w:rsidRDefault="00CA26F6" w:rsidP="00CA26F6">
            <w:pPr>
              <w:snapToGrid w:val="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ACRL Standards (2000)</w:t>
            </w:r>
          </w:p>
        </w:tc>
        <w:tc>
          <w:tcPr>
            <w:tcW w:w="709" w:type="dxa"/>
            <w:tcMar>
              <w:left w:w="0" w:type="dxa"/>
              <w:right w:w="0" w:type="dxa"/>
            </w:tcMar>
            <w:vAlign w:val="center"/>
          </w:tcPr>
          <w:p w14:paraId="01FA7FFC" w14:textId="77777777" w:rsidR="00CA26F6" w:rsidRPr="00CA26F6" w:rsidRDefault="00CA26F6" w:rsidP="00CA26F6">
            <w:pPr>
              <w:snapToGrid w:val="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ACRL HSIG (2013)</w:t>
            </w:r>
          </w:p>
        </w:tc>
        <w:tc>
          <w:tcPr>
            <w:tcW w:w="567" w:type="dxa"/>
            <w:tcMar>
              <w:left w:w="0" w:type="dxa"/>
              <w:right w:w="0" w:type="dxa"/>
            </w:tcMar>
            <w:vAlign w:val="center"/>
          </w:tcPr>
          <w:p w14:paraId="020C960E" w14:textId="77777777" w:rsidR="00CA26F6" w:rsidRPr="00CA26F6" w:rsidRDefault="00CA26F6" w:rsidP="00CA26F6">
            <w:pPr>
              <w:snapToGrid w:val="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ACRL Framework (2016)</w:t>
            </w:r>
          </w:p>
        </w:tc>
        <w:tc>
          <w:tcPr>
            <w:tcW w:w="709" w:type="dxa"/>
            <w:tcMar>
              <w:left w:w="0" w:type="dxa"/>
              <w:right w:w="0" w:type="dxa"/>
            </w:tcMar>
            <w:vAlign w:val="center"/>
          </w:tcPr>
          <w:p w14:paraId="37E550B5" w14:textId="77777777" w:rsidR="00CA26F6" w:rsidRPr="00CA26F6" w:rsidRDefault="00CA26F6" w:rsidP="00CA26F6">
            <w:pPr>
              <w:snapToGrid w:val="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EBP/M/N</w:t>
            </w:r>
          </w:p>
          <w:p w14:paraId="73561460" w14:textId="77777777" w:rsidR="00CA26F6" w:rsidRPr="00CA26F6" w:rsidRDefault="00CA26F6" w:rsidP="00CA26F6">
            <w:pPr>
              <w:snapToGrid w:val="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(1996)</w:t>
            </w:r>
          </w:p>
        </w:tc>
        <w:tc>
          <w:tcPr>
            <w:tcW w:w="850" w:type="dxa"/>
            <w:tcMar>
              <w:left w:w="0" w:type="dxa"/>
              <w:right w:w="0" w:type="dxa"/>
            </w:tcMar>
            <w:vAlign w:val="center"/>
          </w:tcPr>
          <w:p w14:paraId="48589D43" w14:textId="77777777" w:rsidR="00CA26F6" w:rsidRPr="00CA26F6" w:rsidRDefault="00CA26F6" w:rsidP="00CA26F6">
            <w:pPr>
              <w:snapToGrid w:val="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SCONUL (2011)</w:t>
            </w:r>
          </w:p>
        </w:tc>
        <w:tc>
          <w:tcPr>
            <w:tcW w:w="709" w:type="dxa"/>
            <w:tcMar>
              <w:left w:w="0" w:type="dxa"/>
              <w:right w:w="0" w:type="dxa"/>
            </w:tcMar>
            <w:vAlign w:val="center"/>
          </w:tcPr>
          <w:p w14:paraId="0A95ECE2" w14:textId="77777777" w:rsidR="00CA26F6" w:rsidRPr="00CA26F6" w:rsidRDefault="00CA26F6" w:rsidP="00CA26F6">
            <w:pPr>
              <w:snapToGrid w:val="0"/>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ANZIL (2004)</w:t>
            </w:r>
          </w:p>
        </w:tc>
        <w:tc>
          <w:tcPr>
            <w:tcW w:w="851" w:type="dxa"/>
            <w:vAlign w:val="center"/>
          </w:tcPr>
          <w:p w14:paraId="34AD4FE7"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7"/>
                <w:szCs w:val="17"/>
              </w:rPr>
            </w:pPr>
            <w:r w:rsidRPr="00CA26F6">
              <w:rPr>
                <w:rFonts w:ascii="Arial" w:eastAsia="Calibri" w:hAnsi="Arial" w:cs="Arial"/>
                <w:sz w:val="17"/>
                <w:szCs w:val="17"/>
              </w:rPr>
              <w:t>accreditation competencies</w:t>
            </w:r>
          </w:p>
        </w:tc>
        <w:tc>
          <w:tcPr>
            <w:tcW w:w="1275" w:type="dxa"/>
            <w:vAlign w:val="center"/>
          </w:tcPr>
          <w:p w14:paraId="77DF146D"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7"/>
                <w:szCs w:val="17"/>
              </w:rPr>
            </w:pPr>
            <w:r w:rsidRPr="00CA26F6">
              <w:rPr>
                <w:rFonts w:ascii="Arial" w:eastAsia="Calibri" w:hAnsi="Arial" w:cs="Arial"/>
                <w:sz w:val="17"/>
                <w:szCs w:val="17"/>
              </w:rPr>
              <w:t>professional association competencies</w:t>
            </w:r>
          </w:p>
        </w:tc>
        <w:tc>
          <w:tcPr>
            <w:tcW w:w="1701" w:type="dxa"/>
            <w:vAlign w:val="center"/>
          </w:tcPr>
          <w:p w14:paraId="441F8CB0"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instructional measures (with notes on how authors labeled the measures)</w:t>
            </w:r>
          </w:p>
        </w:tc>
        <w:tc>
          <w:tcPr>
            <w:tcW w:w="660" w:type="dxa"/>
            <w:vAlign w:val="center"/>
          </w:tcPr>
          <w:p w14:paraId="096515C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other</w:t>
            </w:r>
          </w:p>
        </w:tc>
      </w:tr>
      <w:tr w:rsidR="00CA26F6" w:rsidRPr="00CA26F6" w14:paraId="51FE3C1A" w14:textId="77777777" w:rsidTr="00706C18">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9BF911E"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(Adams, 2014)</w:t>
            </w:r>
          </w:p>
        </w:tc>
        <w:tc>
          <w:tcPr>
            <w:tcW w:w="850" w:type="dxa"/>
            <w:vAlign w:val="center"/>
          </w:tcPr>
          <w:p w14:paraId="452F207D"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3BFE272A"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2031423D"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1CC6D8AE"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850" w:type="dxa"/>
            <w:vAlign w:val="center"/>
          </w:tcPr>
          <w:p w14:paraId="13735FBC"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4C2C5E94"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5D351ED8"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59ED1E7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78B64E1C"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p w14:paraId="04DF7FB0"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0D322BA1"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p w14:paraId="58C064CD"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“ACRL performance indicactors” and “ACRL outcomes”</w:t>
            </w:r>
          </w:p>
          <w:p w14:paraId="67E7F7D8"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c>
          <w:tcPr>
            <w:tcW w:w="660" w:type="dxa"/>
            <w:vAlign w:val="center"/>
          </w:tcPr>
          <w:p w14:paraId="491BFE79"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173FDF94" w14:textId="77777777" w:rsidTr="00706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1548A9D"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(Allen, 2017)</w:t>
            </w:r>
          </w:p>
        </w:tc>
        <w:tc>
          <w:tcPr>
            <w:tcW w:w="850" w:type="dxa"/>
            <w:vAlign w:val="center"/>
          </w:tcPr>
          <w:p w14:paraId="4356625B"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6408152C"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25212A34"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045CD1FA"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77F0296D"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537230FC"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5ECE0D16"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21D8E12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18427F0B"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4A1095B9"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p w14:paraId="794CB40B"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“course prefix title” and “course title with link to tutorial” and “tutorial learning objectives”</w:t>
            </w:r>
          </w:p>
          <w:p w14:paraId="0EA40209"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c>
          <w:tcPr>
            <w:tcW w:w="660" w:type="dxa"/>
            <w:vAlign w:val="center"/>
          </w:tcPr>
          <w:p w14:paraId="44EEC67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1BF33F19" w14:textId="77777777" w:rsidTr="00706C18">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0870F448"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 xml:space="preserve">(Alpi &amp; Hoggan, 2016) </w:t>
            </w:r>
          </w:p>
        </w:tc>
        <w:tc>
          <w:tcPr>
            <w:tcW w:w="850" w:type="dxa"/>
            <w:vAlign w:val="center"/>
          </w:tcPr>
          <w:p w14:paraId="70581484"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7E180C27"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7B972C46"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718A8039"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69660237"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096FED66"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25F3075F"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776E8C8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6711AF51"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2C7FB0EF"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p w14:paraId="39B399FD"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xml:space="preserve">“Health Professions (Research Literature)” [they read literature and coded their own </w:t>
            </w:r>
            <w:r w:rsidRPr="00CA26F6">
              <w:rPr>
                <w:rFonts w:ascii="Arial" w:eastAsia="Calibri" w:hAnsi="Arial" w:cs="Arial"/>
                <w:sz w:val="18"/>
                <w:szCs w:val="18"/>
              </w:rPr>
              <w:pgNum/>
            </w:r>
            <w:r w:rsidRPr="00CA26F6">
              <w:rPr>
                <w:rFonts w:ascii="Arial" w:eastAsia="Calibri" w:hAnsi="Arial" w:cs="Arial"/>
                <w:sz w:val="18"/>
                <w:szCs w:val="18"/>
              </w:rPr>
              <w:t xml:space="preserve">onceptua concepts from it]; “Veterinary Mentor Objectives (CVM)”; Articulated </w:t>
            </w:r>
            <w:r w:rsidRPr="00CA26F6">
              <w:rPr>
                <w:rFonts w:ascii="Arial" w:eastAsia="Calibri" w:hAnsi="Arial" w:cs="Arial"/>
                <w:sz w:val="18"/>
                <w:szCs w:val="18"/>
              </w:rPr>
              <w:lastRenderedPageBreak/>
              <w:t>Proposed Veterinary Research TCs (Novel)”</w:t>
            </w:r>
          </w:p>
          <w:p w14:paraId="3A275E98"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c>
          <w:tcPr>
            <w:tcW w:w="660" w:type="dxa"/>
            <w:vAlign w:val="center"/>
          </w:tcPr>
          <w:p w14:paraId="1364C556"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lastRenderedPageBreak/>
              <w:t> </w:t>
            </w:r>
          </w:p>
        </w:tc>
      </w:tr>
      <w:tr w:rsidR="00CA26F6" w:rsidRPr="00CA26F6" w14:paraId="32B1EAB0" w14:textId="77777777" w:rsidTr="00706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5DC8672A"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(Argüelles, 2012)</w:t>
            </w:r>
          </w:p>
        </w:tc>
        <w:tc>
          <w:tcPr>
            <w:tcW w:w="850" w:type="dxa"/>
            <w:vAlign w:val="center"/>
          </w:tcPr>
          <w:p w14:paraId="6C2AA23A"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3A9E8175"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6DD93F0A"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4254652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850" w:type="dxa"/>
            <w:vAlign w:val="center"/>
          </w:tcPr>
          <w:p w14:paraId="3AB9998E"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7D44B73F"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5036E3D9"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64CFCE53"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1701" w:type="dxa"/>
            <w:vAlign w:val="center"/>
          </w:tcPr>
          <w:p w14:paraId="132B45D5"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7E22C3A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p w14:paraId="16B81417"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“results” and “instruction outline” and “learning activities”</w:t>
            </w:r>
          </w:p>
          <w:p w14:paraId="2EE7821C"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c>
          <w:tcPr>
            <w:tcW w:w="660" w:type="dxa"/>
            <w:vAlign w:val="center"/>
          </w:tcPr>
          <w:p w14:paraId="02773827"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5730825F" w14:textId="77777777" w:rsidTr="00706C18">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E853675"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(Argüelles, 2016)</w:t>
            </w:r>
          </w:p>
        </w:tc>
        <w:tc>
          <w:tcPr>
            <w:tcW w:w="850" w:type="dxa"/>
            <w:vAlign w:val="center"/>
          </w:tcPr>
          <w:p w14:paraId="07871327"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63F68154"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02CC5C4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74FC73FE"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850" w:type="dxa"/>
            <w:vAlign w:val="center"/>
          </w:tcPr>
          <w:p w14:paraId="13FAC89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16ED45CF"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279BD597"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205DCEF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1701" w:type="dxa"/>
            <w:vAlign w:val="center"/>
          </w:tcPr>
          <w:p w14:paraId="49D9635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33C42438"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p w14:paraId="06AE539C"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within “essential competencies” aligns “themes” and “information research process” activities; also has table relating ACRL “Information Literacy Framework” with “Nursing Process”</w:t>
            </w:r>
          </w:p>
          <w:p w14:paraId="68CA4449"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c>
          <w:tcPr>
            <w:tcW w:w="660" w:type="dxa"/>
            <w:vAlign w:val="center"/>
          </w:tcPr>
          <w:p w14:paraId="32AAA2B3"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2B987E1F" w14:textId="77777777" w:rsidTr="00706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B064C14"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(Bendriss et al., 2015)</w:t>
            </w:r>
          </w:p>
        </w:tc>
        <w:tc>
          <w:tcPr>
            <w:tcW w:w="850" w:type="dxa"/>
            <w:vAlign w:val="center"/>
          </w:tcPr>
          <w:p w14:paraId="3BA185BD"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3E9481D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624621AB"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3786940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40E9DADC"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667E0F99"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0D294D15"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047ED2B5"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10662673"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39DDC233"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p w14:paraId="0B6FEFC1"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“class”, “year”, “learning objectives”, “assessment/Clicker questions”, DeLib 101 Questions Applicable” mapped to courses labeled “EAP Foundation”, “Writing Seminar 1”, “Writing Seminar 2”, and “Biology”</w:t>
            </w:r>
          </w:p>
          <w:p w14:paraId="604D6EB1"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c>
          <w:tcPr>
            <w:tcW w:w="660" w:type="dxa"/>
            <w:vAlign w:val="center"/>
          </w:tcPr>
          <w:p w14:paraId="159C6341"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6B02CAB8" w14:textId="77777777" w:rsidTr="00706C18">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42B2602"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(Boden &amp; Murphy, 2012)</w:t>
            </w:r>
          </w:p>
        </w:tc>
        <w:tc>
          <w:tcPr>
            <w:tcW w:w="850" w:type="dxa"/>
            <w:vAlign w:val="center"/>
          </w:tcPr>
          <w:p w14:paraId="565DDDC9"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6A1257A9"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5CB9E0F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61F80CCA"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040F8FE8"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641067AF"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64668B73"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4D00A3AD"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2C940914"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462D06F4"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p w14:paraId="48708B71"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Topic Section Content Existing Exercises &amp; Proposed Content Revisions; “literature search curriculum” and “Krathwohl’s 2002 Taxonomy table”</w:t>
            </w:r>
          </w:p>
          <w:p w14:paraId="20A24EDC"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c>
          <w:tcPr>
            <w:tcW w:w="660" w:type="dxa"/>
            <w:vAlign w:val="center"/>
          </w:tcPr>
          <w:p w14:paraId="0DB81B7A"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6AD0394C" w14:textId="77777777" w:rsidTr="00706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527E5E9"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(Boruff &amp; Thomas, 2011)</w:t>
            </w:r>
          </w:p>
        </w:tc>
        <w:tc>
          <w:tcPr>
            <w:tcW w:w="850" w:type="dxa"/>
            <w:vAlign w:val="center"/>
          </w:tcPr>
          <w:p w14:paraId="46ABF93B"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4E852140"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645985C4"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596D9129"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5B66AD61"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0D165A21"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2D8C4914"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79DC5ABB"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1591A94E"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1018C21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p w14:paraId="20D9F0E0"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“Learning activities”, format of session: “workshop” and/or “lecture”</w:t>
            </w:r>
          </w:p>
          <w:p w14:paraId="63FA8E06"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c>
          <w:tcPr>
            <w:tcW w:w="660" w:type="dxa"/>
            <w:vAlign w:val="center"/>
          </w:tcPr>
          <w:p w14:paraId="1E27756B"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7B8EEB1F" w14:textId="77777777" w:rsidTr="00706C18">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513317FD"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lastRenderedPageBreak/>
              <w:t>(Bradley, 2013)</w:t>
            </w:r>
          </w:p>
        </w:tc>
        <w:tc>
          <w:tcPr>
            <w:tcW w:w="850" w:type="dxa"/>
            <w:vAlign w:val="center"/>
          </w:tcPr>
          <w:p w14:paraId="302C16A9"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266E0B64"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66B7C56E"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331DFF74"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20DDCD99"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782532DB"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461CF850"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1275" w:type="dxa"/>
            <w:vAlign w:val="center"/>
          </w:tcPr>
          <w:p w14:paraId="606EFF89"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1D4E08E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660" w:type="dxa"/>
            <w:vAlign w:val="center"/>
          </w:tcPr>
          <w:p w14:paraId="55B77EF9"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07249EAA" w14:textId="77777777" w:rsidTr="00706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4DF0E35"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(Brooks &amp; Bigelow, 2015)</w:t>
            </w:r>
          </w:p>
        </w:tc>
        <w:tc>
          <w:tcPr>
            <w:tcW w:w="850" w:type="dxa"/>
            <w:vAlign w:val="center"/>
          </w:tcPr>
          <w:p w14:paraId="6C30CA2A"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26C88EF7"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77216E2C"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588C8305"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218B4C8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7803BE97"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42B3A81B"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0144FA64"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1701" w:type="dxa"/>
            <w:vAlign w:val="center"/>
          </w:tcPr>
          <w:p w14:paraId="4E4674FE"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000303A1"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p w14:paraId="0EAEDDC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“course objectives” and “Springfield college information literacy</w:t>
            </w:r>
          </w:p>
          <w:p w14:paraId="657EEE2A"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across the curriculum</w:t>
            </w:r>
          </w:p>
          <w:p w14:paraId="5183A4E0"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Matrix of objectives by general education</w:t>
            </w:r>
          </w:p>
          <w:p w14:paraId="4258FED7"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and disciplines based on ACRL standards”</w:t>
            </w:r>
          </w:p>
          <w:p w14:paraId="6B35534C"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c>
          <w:tcPr>
            <w:tcW w:w="660" w:type="dxa"/>
            <w:vAlign w:val="center"/>
          </w:tcPr>
          <w:p w14:paraId="77C9789A"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16D69F4A" w14:textId="77777777" w:rsidTr="00706C18">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2E796D5"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(Carr et al., 2011)</w:t>
            </w:r>
          </w:p>
        </w:tc>
        <w:tc>
          <w:tcPr>
            <w:tcW w:w="850" w:type="dxa"/>
            <w:vAlign w:val="center"/>
          </w:tcPr>
          <w:p w14:paraId="29923043"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68524DBC"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387D0581"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2F49086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1FD3DF10"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1E21308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851" w:type="dxa"/>
            <w:vAlign w:val="center"/>
          </w:tcPr>
          <w:p w14:paraId="7A4F31A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4B301374"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0E672FDF"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27A4329D"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p w14:paraId="61367824"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“survey items related to standard”</w:t>
            </w:r>
          </w:p>
          <w:p w14:paraId="01ABE56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c>
          <w:tcPr>
            <w:tcW w:w="660" w:type="dxa"/>
            <w:vAlign w:val="center"/>
          </w:tcPr>
          <w:p w14:paraId="3A8B8E1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01203C08" w14:textId="77777777" w:rsidTr="00706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2A99454"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(Dalton, 2013)</w:t>
            </w:r>
          </w:p>
        </w:tc>
        <w:tc>
          <w:tcPr>
            <w:tcW w:w="850" w:type="dxa"/>
            <w:vAlign w:val="center"/>
          </w:tcPr>
          <w:p w14:paraId="7EAC2810"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2D89EDF1"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1F7A016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2694B7DE"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325E854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6F2B04FF"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606BAA8A"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1D7A4C5F"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77D0A2FD"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660" w:type="dxa"/>
            <w:vAlign w:val="center"/>
          </w:tcPr>
          <w:p w14:paraId="1A09B2E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r>
      <w:tr w:rsidR="00CA26F6" w:rsidRPr="00CA26F6" w14:paraId="1375A76F" w14:textId="77777777" w:rsidTr="00706C18">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CABADA9"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(Dawes, 2019)</w:t>
            </w:r>
          </w:p>
        </w:tc>
        <w:tc>
          <w:tcPr>
            <w:tcW w:w="850" w:type="dxa"/>
            <w:vAlign w:val="center"/>
          </w:tcPr>
          <w:p w14:paraId="7132136B"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291FF22C"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499A5707"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4109879A"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25A3F38B"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1DC2D1BF"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55F55358"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3F8B315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59F065F7"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768497A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p w14:paraId="57BA1910"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“Faculty conceptions teaching IL” and “IL concepts identified by faculty”</w:t>
            </w:r>
          </w:p>
          <w:p w14:paraId="1960545B"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c>
          <w:tcPr>
            <w:tcW w:w="660" w:type="dxa"/>
            <w:vAlign w:val="center"/>
          </w:tcPr>
          <w:p w14:paraId="1F90DCDC"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21D268AE" w14:textId="77777777" w:rsidTr="00706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3A51A0E"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(Franzen &amp; Bannon, 2016)</w:t>
            </w:r>
          </w:p>
        </w:tc>
        <w:tc>
          <w:tcPr>
            <w:tcW w:w="850" w:type="dxa"/>
            <w:vAlign w:val="center"/>
          </w:tcPr>
          <w:p w14:paraId="0FE53E91"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689DEBFB"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0D72FBF1"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0F37F46A"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850" w:type="dxa"/>
            <w:vAlign w:val="center"/>
          </w:tcPr>
          <w:p w14:paraId="70A8524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0468A05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3CDB2475"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3E127EF6"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669D70C4"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40FC0165"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p w14:paraId="1ECE52A4"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“instruction” and “assignment”</w:t>
            </w:r>
          </w:p>
          <w:p w14:paraId="6C4513F9"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c>
          <w:tcPr>
            <w:tcW w:w="660" w:type="dxa"/>
            <w:vAlign w:val="center"/>
          </w:tcPr>
          <w:p w14:paraId="311C32B7"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5ECE5472" w14:textId="77777777" w:rsidTr="00706C18">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00698A8"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(Frati et al., 2020)</w:t>
            </w:r>
          </w:p>
        </w:tc>
        <w:tc>
          <w:tcPr>
            <w:tcW w:w="850" w:type="dxa"/>
            <w:vAlign w:val="center"/>
          </w:tcPr>
          <w:p w14:paraId="381B1669"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02378886"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277D300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08A78078"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850" w:type="dxa"/>
            <w:vAlign w:val="center"/>
          </w:tcPr>
          <w:p w14:paraId="1CF82781"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7710444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4618050D"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22869279"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1FAE0220"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71945B1E"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p w14:paraId="63787167"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“case-based learning”, “problem based learning”, and “inquiry based learning”</w:t>
            </w:r>
          </w:p>
          <w:p w14:paraId="1EA35EA7"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c>
          <w:tcPr>
            <w:tcW w:w="660" w:type="dxa"/>
            <w:vAlign w:val="center"/>
          </w:tcPr>
          <w:p w14:paraId="7C72E529"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0599B92C" w14:textId="77777777" w:rsidTr="00706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C8A91AD"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(Kolstad, 2015)</w:t>
            </w:r>
          </w:p>
        </w:tc>
        <w:tc>
          <w:tcPr>
            <w:tcW w:w="850" w:type="dxa"/>
            <w:vAlign w:val="center"/>
          </w:tcPr>
          <w:p w14:paraId="5B0361C7"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2BCAF785"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2486763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55711D93"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850" w:type="dxa"/>
            <w:vAlign w:val="center"/>
          </w:tcPr>
          <w:p w14:paraId="6F888031"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62AAD84D"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4F38EF9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564C6A17"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4C8EE65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2126BC3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p w14:paraId="660E8CEC"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ACRL standards “steps” and “assignments”</w:t>
            </w:r>
          </w:p>
          <w:p w14:paraId="574133DE"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c>
          <w:tcPr>
            <w:tcW w:w="660" w:type="dxa"/>
            <w:vAlign w:val="center"/>
          </w:tcPr>
          <w:p w14:paraId="7B6FA855"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21284965" w14:textId="77777777" w:rsidTr="00706C18">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75617CDC"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(Kolstad, 2017)</w:t>
            </w:r>
          </w:p>
        </w:tc>
        <w:tc>
          <w:tcPr>
            <w:tcW w:w="850" w:type="dxa"/>
            <w:vAlign w:val="center"/>
          </w:tcPr>
          <w:p w14:paraId="380006BF"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740FACEB"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1869A3EB"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27C21B41"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5C9C5EE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75F0EEDF"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3708DAFF"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69C6376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7447A721"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7BE398D7"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p w14:paraId="656B7A0C"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[unlabeled]</w:t>
            </w:r>
          </w:p>
          <w:p w14:paraId="673607A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c>
          <w:tcPr>
            <w:tcW w:w="660" w:type="dxa"/>
            <w:vAlign w:val="center"/>
          </w:tcPr>
          <w:p w14:paraId="1ECFB38F"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1CC11407" w14:textId="77777777" w:rsidTr="00706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194765E"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(M. Miller &amp; Neyer, 2016)</w:t>
            </w:r>
          </w:p>
        </w:tc>
        <w:tc>
          <w:tcPr>
            <w:tcW w:w="850" w:type="dxa"/>
            <w:vAlign w:val="center"/>
          </w:tcPr>
          <w:p w14:paraId="578DC359"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748C06F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3AF3550B"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24126CD3"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71E5AEB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136CC16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4E44704C"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1275" w:type="dxa"/>
            <w:vAlign w:val="center"/>
          </w:tcPr>
          <w:p w14:paraId="3294F25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1701" w:type="dxa"/>
            <w:vAlign w:val="center"/>
          </w:tcPr>
          <w:p w14:paraId="1720FE0C"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660" w:type="dxa"/>
            <w:vAlign w:val="center"/>
          </w:tcPr>
          <w:p w14:paraId="67BEC60F"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1CC1B030" w14:textId="77777777" w:rsidTr="00706C18">
        <w:trPr>
          <w:trHeight w:val="881"/>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62A1D92"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(R. K. Miller, 2012)</w:t>
            </w:r>
          </w:p>
        </w:tc>
        <w:tc>
          <w:tcPr>
            <w:tcW w:w="850" w:type="dxa"/>
            <w:vAlign w:val="center"/>
          </w:tcPr>
          <w:p w14:paraId="08BD3964"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5E4F7284"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28E90CD8"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0F9E7A9C"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4DD278BB"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1E6E7168"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0E016399"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1275" w:type="dxa"/>
            <w:vAlign w:val="center"/>
          </w:tcPr>
          <w:p w14:paraId="66569CA0"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23C3A13C"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230D3EFC"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p w14:paraId="4E360843"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“knowledge requirements”</w:t>
            </w:r>
          </w:p>
        </w:tc>
        <w:tc>
          <w:tcPr>
            <w:tcW w:w="660" w:type="dxa"/>
            <w:vAlign w:val="center"/>
          </w:tcPr>
          <w:p w14:paraId="09E7CD7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4A727481" w14:textId="77777777" w:rsidTr="00706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D90DB22"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lastRenderedPageBreak/>
              <w:t>(Phelps, 2013)</w:t>
            </w:r>
          </w:p>
        </w:tc>
        <w:tc>
          <w:tcPr>
            <w:tcW w:w="850" w:type="dxa"/>
            <w:vAlign w:val="center"/>
          </w:tcPr>
          <w:p w14:paraId="49337BF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5726CF86"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06F43501"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61A21B5D"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23009AE0"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69423FEA"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2D9AEB3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2B3E9CCF"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1701" w:type="dxa"/>
            <w:vAlign w:val="center"/>
          </w:tcPr>
          <w:p w14:paraId="1C128665"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660" w:type="dxa"/>
            <w:vAlign w:val="center"/>
          </w:tcPr>
          <w:p w14:paraId="0DBA9854"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7975AD9C" w14:textId="77777777" w:rsidTr="00706C18">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3EC563A"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(Simons et al., 2012)</w:t>
            </w:r>
          </w:p>
        </w:tc>
        <w:tc>
          <w:tcPr>
            <w:tcW w:w="850" w:type="dxa"/>
            <w:vAlign w:val="center"/>
          </w:tcPr>
          <w:p w14:paraId="3CB4AEFC"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7AA9D10F"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5FC632A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5191CA11"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6101DE1E"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1FB30CFA"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330591C3"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77B5AF7E"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101A63D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5F742A4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p w14:paraId="0685FDF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“Australian School of Advanced Medicine Performance indicator” and “assessment criteria”</w:t>
            </w:r>
          </w:p>
          <w:p w14:paraId="5D6BE9D4"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c>
          <w:tcPr>
            <w:tcW w:w="660" w:type="dxa"/>
            <w:vAlign w:val="center"/>
          </w:tcPr>
          <w:p w14:paraId="0FF65DB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4F8C8991" w14:textId="77777777" w:rsidTr="00706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292371A"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(Tagge, 2018)</w:t>
            </w:r>
          </w:p>
        </w:tc>
        <w:tc>
          <w:tcPr>
            <w:tcW w:w="850" w:type="dxa"/>
            <w:vAlign w:val="center"/>
          </w:tcPr>
          <w:p w14:paraId="2E58BCFC"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709" w:type="dxa"/>
            <w:vAlign w:val="center"/>
          </w:tcPr>
          <w:p w14:paraId="1D56CF8A"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2664994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7C582E52"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5DF60C94"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434D6F4B"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0CB36ECF"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1275" w:type="dxa"/>
            <w:vAlign w:val="center"/>
          </w:tcPr>
          <w:p w14:paraId="5AAEB784"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7BC32541"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08793ACF"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p w14:paraId="2DD1C4FB"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“Library-led clinical reasoning conferences (CRCs) learning outcome”</w:t>
            </w:r>
          </w:p>
          <w:p w14:paraId="637EAA59"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c>
          <w:tcPr>
            <w:tcW w:w="660" w:type="dxa"/>
            <w:vAlign w:val="center"/>
          </w:tcPr>
          <w:p w14:paraId="0D59F805"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6A5205EC" w14:textId="77777777" w:rsidTr="00706C18">
        <w:trP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5D8670E4"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(Williams &amp; Ntiri, 2018)</w:t>
            </w:r>
          </w:p>
        </w:tc>
        <w:tc>
          <w:tcPr>
            <w:tcW w:w="850" w:type="dxa"/>
            <w:vAlign w:val="center"/>
          </w:tcPr>
          <w:p w14:paraId="09A5C647"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37B45767"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567" w:type="dxa"/>
            <w:vAlign w:val="center"/>
          </w:tcPr>
          <w:p w14:paraId="1C89DA7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6F8DFA96"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34D34F0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298B367A"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5CB5C0FB"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43B95525"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38043EDD"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15EC76A2"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p w14:paraId="2B8FF03B"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“curriculum objective” and “topic covered”</w:t>
            </w:r>
          </w:p>
          <w:p w14:paraId="4BFFD6EF"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c>
          <w:tcPr>
            <w:tcW w:w="660" w:type="dxa"/>
            <w:vAlign w:val="center"/>
          </w:tcPr>
          <w:p w14:paraId="30E55DF3" w14:textId="77777777" w:rsidR="00CA26F6" w:rsidRPr="00CA26F6" w:rsidRDefault="00CA26F6" w:rsidP="00CA26F6">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r w:rsidR="00CA26F6" w:rsidRPr="00CA26F6" w14:paraId="47BBD643" w14:textId="77777777" w:rsidTr="00706C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7BA15FC" w14:textId="77777777" w:rsidR="00CA26F6" w:rsidRPr="00CA26F6" w:rsidRDefault="00CA26F6" w:rsidP="00CA26F6">
            <w:pPr>
              <w:rPr>
                <w:rFonts w:ascii="Arial" w:eastAsia="Calibri" w:hAnsi="Arial" w:cs="Arial"/>
                <w:sz w:val="18"/>
                <w:szCs w:val="18"/>
              </w:rPr>
            </w:pPr>
            <w:r w:rsidRPr="00CA26F6">
              <w:rPr>
                <w:rFonts w:ascii="Arial" w:eastAsia="Calibri" w:hAnsi="Arial" w:cs="Arial"/>
                <w:sz w:val="18"/>
                <w:szCs w:val="18"/>
              </w:rPr>
              <w:t>(Wissinger et al., 2018)</w:t>
            </w:r>
          </w:p>
        </w:tc>
        <w:tc>
          <w:tcPr>
            <w:tcW w:w="850" w:type="dxa"/>
            <w:vAlign w:val="center"/>
          </w:tcPr>
          <w:p w14:paraId="68EA49EC"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7F22D9B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tc>
        <w:tc>
          <w:tcPr>
            <w:tcW w:w="567" w:type="dxa"/>
            <w:vAlign w:val="center"/>
          </w:tcPr>
          <w:p w14:paraId="770752C3"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6EFF0AD5"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0" w:type="dxa"/>
            <w:vAlign w:val="center"/>
          </w:tcPr>
          <w:p w14:paraId="494F814B"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709" w:type="dxa"/>
            <w:vAlign w:val="center"/>
          </w:tcPr>
          <w:p w14:paraId="0A1FF417"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851" w:type="dxa"/>
            <w:vAlign w:val="center"/>
          </w:tcPr>
          <w:p w14:paraId="06E3C1AB"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275" w:type="dxa"/>
            <w:vAlign w:val="center"/>
          </w:tcPr>
          <w:p w14:paraId="6A897025"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c>
          <w:tcPr>
            <w:tcW w:w="1701" w:type="dxa"/>
            <w:vAlign w:val="center"/>
          </w:tcPr>
          <w:p w14:paraId="35A0300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1</w:t>
            </w:r>
          </w:p>
          <w:p w14:paraId="5D5F6EA8"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p w14:paraId="31251560"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“outcome” and “performance indicator”</w:t>
            </w:r>
          </w:p>
          <w:p w14:paraId="76B1BE64"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c>
          <w:tcPr>
            <w:tcW w:w="660" w:type="dxa"/>
            <w:vAlign w:val="center"/>
          </w:tcPr>
          <w:p w14:paraId="1BE1FD37" w14:textId="77777777" w:rsidR="00CA26F6" w:rsidRPr="00CA26F6" w:rsidRDefault="00CA26F6" w:rsidP="00CA26F6">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A26F6">
              <w:rPr>
                <w:rFonts w:ascii="Arial" w:eastAsia="Calibri" w:hAnsi="Arial" w:cs="Arial"/>
                <w:sz w:val="18"/>
                <w:szCs w:val="18"/>
              </w:rPr>
              <w:t> </w:t>
            </w:r>
          </w:p>
        </w:tc>
      </w:tr>
    </w:tbl>
    <w:p w14:paraId="267032A5" w14:textId="77777777" w:rsidR="00CA26F6" w:rsidRPr="00313CE4" w:rsidRDefault="00CA26F6" w:rsidP="00AB2BC5">
      <w:pPr>
        <w:rPr>
          <w:rFonts w:ascii="Calibri" w:eastAsia="Calibri" w:hAnsi="Calibri" w:cs="Calibri"/>
        </w:rPr>
      </w:pPr>
    </w:p>
    <w:p w14:paraId="00ED8ABE" w14:textId="742E5C2A" w:rsidR="00AB2BC5" w:rsidRDefault="00AB2BC5" w:rsidP="00AB2BC5">
      <w:r>
        <w:t>*</w:t>
      </w:r>
      <w:r w:rsidRPr="004C6145">
        <w:t xml:space="preserve"> Acronyms: ACRL: Association of College and Research Libraries (United States); </w:t>
      </w:r>
      <w:r>
        <w:t xml:space="preserve">HSIG: Health Sciences Interest Group; </w:t>
      </w:r>
      <w:r w:rsidRPr="00953528">
        <w:t>EBP/M/N: Evidence-based Practice/Medicine/Nursing (United States)</w:t>
      </w:r>
      <w:r>
        <w:t xml:space="preserve">; </w:t>
      </w:r>
      <w:r w:rsidRPr="0011255A">
        <w:t>SCONUL: Society of College, National, and University Libraries Seven Pillars of Information Literacy Framework (United Kingdom</w:t>
      </w:r>
      <w:r>
        <w:t xml:space="preserve">); </w:t>
      </w:r>
      <w:r w:rsidRPr="004C6145">
        <w:t>ANZIL: Australian and New Zealand Information Literacy Framework (New Zealand)</w:t>
      </w:r>
    </w:p>
    <w:p w14:paraId="31929B97" w14:textId="77777777" w:rsidR="00313CE4" w:rsidRDefault="00313CE4" w:rsidP="00AB2BC5"/>
    <w:p w14:paraId="33F04CED" w14:textId="7BF4ED55" w:rsidR="00AB2BC5" w:rsidRDefault="00AB2BC5" w:rsidP="00AB2BC5">
      <w:r w:rsidRPr="00F90DE8">
        <w:t>The elements most commonly included in curriculum maps were aspects of the instruction context, i.e., themes, competencies, learning outcomes, module titles, course activities and assignments, and in one case, survey instrument questions</w:t>
      </w:r>
      <w:r>
        <w:t>, all recorded as “instructional measures” in Table 2</w:t>
      </w:r>
      <w:r w:rsidRPr="00F90DE8">
        <w:t xml:space="preserve">. </w:t>
      </w:r>
      <w:r>
        <w:t xml:space="preserve">The diversity of language with which these elements were represented in the 12 published articles’ maps defied more detailed coding which might have illuminated more clearly what exactly librarians were mapping when they mapped curricula. For example, some elements were </w:t>
      </w:r>
      <w:r w:rsidR="0056613C">
        <w:t>unlabelled</w:t>
      </w:r>
      <w:r>
        <w:t xml:space="preserve"> (Kolstad, 2013), while others used unclear labels like “knowledge requirements” (Miller, 2012) and “results” </w:t>
      </w:r>
      <w:r w:rsidRPr="003117C1">
        <w:t>(Argüelles, 2012)</w:t>
      </w:r>
      <w:r>
        <w:t xml:space="preserve">. Only four of the 12 mapping articles (33%) referred to learning outcomes, using the phrases “learning objectives” </w:t>
      </w:r>
      <w:r w:rsidRPr="00B92645">
        <w:t>(Bendriss et al., 2015</w:t>
      </w:r>
      <w:r>
        <w:t xml:space="preserve">; </w:t>
      </w:r>
      <w:r w:rsidRPr="009C7BE1">
        <w:t>Allen, 2017)</w:t>
      </w:r>
      <w:r>
        <w:t xml:space="preserve">, “course objectives” </w:t>
      </w:r>
      <w:r w:rsidRPr="0076711A">
        <w:t>(Brooks &amp; Bigelow, 2015)</w:t>
      </w:r>
      <w:r>
        <w:t xml:space="preserve">, and “curriculum objective” </w:t>
      </w:r>
      <w:r w:rsidRPr="00A163CD">
        <w:t>(Williams &amp; Ntiri, 2018)</w:t>
      </w:r>
      <w:r>
        <w:t xml:space="preserve">. </w:t>
      </w:r>
      <w:r w:rsidRPr="00F90DE8">
        <w:t>[See Appendix C for full coding of all articles and transcription of mapping articles’ various “instructional elements”].</w:t>
      </w:r>
    </w:p>
    <w:p w14:paraId="0433B712" w14:textId="77777777" w:rsidR="00313CE4" w:rsidRPr="00F90DE8" w:rsidRDefault="00313CE4" w:rsidP="00AB2BC5"/>
    <w:p w14:paraId="24C3F8E4" w14:textId="4F02DF5E" w:rsidR="00AB2BC5" w:rsidRDefault="00AB2BC5" w:rsidP="00AB2BC5">
      <w:r w:rsidRPr="00F90DE8">
        <w:t xml:space="preserve">We found no correlation between faculty status and curriculum mapping as a practice, as none of the articles which presented figures of curriculum maps in the article text were those which explicitly identified librarians as being faculty. </w:t>
      </w:r>
    </w:p>
    <w:p w14:paraId="3C3FEAF8" w14:textId="77777777" w:rsidR="00313CE4" w:rsidRPr="00F90DE8" w:rsidRDefault="00313CE4" w:rsidP="00AB2BC5"/>
    <w:p w14:paraId="0D300B2D" w14:textId="77777777" w:rsidR="00AB2BC5" w:rsidRPr="00AB2BC5" w:rsidRDefault="00AB2BC5" w:rsidP="003846CA">
      <w:pPr>
        <w:keepNext/>
        <w:spacing w:before="80" w:after="120"/>
        <w:rPr>
          <w:b/>
          <w:bCs/>
          <w:sz w:val="24"/>
          <w:szCs w:val="24"/>
        </w:rPr>
      </w:pPr>
      <w:r w:rsidRPr="00F90DE8">
        <w:rPr>
          <w:b/>
          <w:bCs/>
          <w:sz w:val="24"/>
          <w:szCs w:val="24"/>
        </w:rPr>
        <w:lastRenderedPageBreak/>
        <w:t>3.3 Concepts and skills</w:t>
      </w:r>
    </w:p>
    <w:p w14:paraId="07296BFF" w14:textId="7B26136B" w:rsidR="00AB2BC5" w:rsidRDefault="00AB2BC5" w:rsidP="003846CA">
      <w:pPr>
        <w:keepNext/>
      </w:pPr>
      <w:r w:rsidRPr="00F90DE8">
        <w:t>We coded the articles to reveal which skills and competencies are most often included in or reported on in articles focused on IL curriculum mapping in health sciences contexts.</w:t>
      </w:r>
      <w:r>
        <w:t xml:space="preserve"> </w:t>
      </w:r>
      <w:r w:rsidRPr="00F90DE8">
        <w:t>While testing our preliminary extraction instrument, we initially coded at a highly detailed level, coding each specific skill and concept present in an article. However, this level of detail proved unsustainable and, at times, inappropriate, given the wildly varying wording and scope of the items being coded. It was impossible to read between the lines of, for example, a database activity that was not described in any detail in order to record which skills or concepts were covered. For this reason</w:t>
      </w:r>
      <w:r w:rsidRPr="461FFA0E">
        <w:t>,</w:t>
      </w:r>
      <w:r w:rsidRPr="00F90DE8">
        <w:t xml:space="preserve"> we decided to shift from coding each specific concept and skill to coding larger categories of IL concepts and skills represented in the text, which we will refer to as “domains.” [Full detail on our arrangement of concepts and skills within larger IL domains is provided in Appendix B]. </w:t>
      </w:r>
    </w:p>
    <w:p w14:paraId="7EC3DC37" w14:textId="77777777" w:rsidR="00313CE4" w:rsidRPr="00F90DE8" w:rsidRDefault="00313CE4" w:rsidP="00AB2BC5"/>
    <w:p w14:paraId="5B20B8AA" w14:textId="7E41D541" w:rsidR="00AB2BC5" w:rsidRDefault="00AB2BC5" w:rsidP="00AB2BC5">
      <w:r w:rsidRPr="00F90DE8">
        <w:t xml:space="preserve">Most articles reported learning outcomes/activities </w:t>
      </w:r>
      <w:r w:rsidR="00F7275A" w:rsidRPr="2E760C19">
        <w:t>centred</w:t>
      </w:r>
      <w:r w:rsidRPr="00F90DE8">
        <w:t xml:space="preserve"> on research </w:t>
      </w:r>
      <w:r>
        <w:t>organisation</w:t>
      </w:r>
      <w:r w:rsidRPr="00F90DE8">
        <w:t xml:space="preserve"> (n=81, 63% of total article set, 23% of all concept/skill codes), closely followed by search syntax (n=75, 59% of total article set, 21% of all concept/skill codes), scholarly communication (n=73, 57% of total article set, 21% of all concept/skill codes), and finally information architecture (n=67, 52% of total article set, 19% of all concept/skill codes). Issues of equity and access were less present (n=22, 17% of total article set, 6% of all concept/skill codes) with “integrating evidence” (n=4, 3% of total article set, 1% of all concept/skill codes) being the only domain to appear with less frequency.</w:t>
      </w:r>
    </w:p>
    <w:p w14:paraId="5C393595" w14:textId="77777777" w:rsidR="00313CE4" w:rsidRPr="00F90DE8" w:rsidRDefault="00313CE4" w:rsidP="00AB2BC5"/>
    <w:p w14:paraId="45E97C98" w14:textId="19C971E5" w:rsidR="00AB2BC5" w:rsidRPr="00313CE4" w:rsidRDefault="00AB2BC5" w:rsidP="00313CE4">
      <w:pPr>
        <w:rPr>
          <w:rFonts w:ascii="Calibri" w:eastAsia="Calibri" w:hAnsi="Calibri" w:cs="Calibri"/>
        </w:rPr>
      </w:pPr>
      <w:r w:rsidRPr="00313CE4">
        <w:rPr>
          <w:b/>
          <w:bCs/>
        </w:rPr>
        <w:t>Figure 3a</w:t>
      </w:r>
      <w:r w:rsidRPr="00313CE4">
        <w:t>: Domains of IL concepts &amp; skills*</w:t>
      </w:r>
    </w:p>
    <w:p w14:paraId="295DB5D3" w14:textId="77777777" w:rsidR="00AB2BC5" w:rsidRPr="00F90DE8" w:rsidRDefault="00AB2BC5" w:rsidP="00AB2BC5">
      <w:pPr>
        <w:jc w:val="center"/>
      </w:pPr>
      <w:r>
        <w:rPr>
          <w:noProof/>
        </w:rPr>
        <w:drawing>
          <wp:inline distT="0" distB="0" distL="0" distR="0" wp14:anchorId="56E0763D" wp14:editId="0053CD25">
            <wp:extent cx="4678680" cy="2703195"/>
            <wp:effectExtent l="0" t="0" r="7620" b="1905"/>
            <wp:docPr id="4" name="Chart 4" descr="Figure showing IL domains against number of times these were included in curricula. ">
              <a:extLst xmlns:a="http://schemas.openxmlformats.org/drawingml/2006/main">
                <a:ext uri="{FF2B5EF4-FFF2-40B4-BE49-F238E27FC236}">
                  <a16:creationId xmlns:a16="http://schemas.microsoft.com/office/drawing/2014/main" id="{6EFCD40A-229B-4D89-8620-C115BF023A42}"/>
                </a:ext>
                <a:ext uri="{147F2762-F138-4A5C-976F-8EAC2B608ADB}">
                  <a16:predDERef xmlns:a16="http://schemas.microsoft.com/office/drawing/2014/main" pred="{A5E98CCC-C0B0-4B90-BFBD-A27BC6D583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B153AFE" w14:textId="77777777" w:rsidR="00AB2BC5" w:rsidRDefault="00AB2BC5" w:rsidP="00AB2BC5">
      <w:pPr>
        <w:rPr>
          <w:iCs/>
        </w:rPr>
      </w:pPr>
      <w:r w:rsidRPr="00F90DE8">
        <w:rPr>
          <w:iCs/>
        </w:rPr>
        <w:t>*each study may have been coded with more than one domain, total domains marked=345</w:t>
      </w:r>
    </w:p>
    <w:p w14:paraId="1F8BDF34" w14:textId="77777777" w:rsidR="003154AF" w:rsidRDefault="003154AF" w:rsidP="00AB2BC5">
      <w:pPr>
        <w:rPr>
          <w:b/>
          <w:bCs/>
          <w:iCs/>
        </w:rPr>
      </w:pPr>
    </w:p>
    <w:p w14:paraId="4884E5DC" w14:textId="017C7B1E" w:rsidR="00AB2BC5" w:rsidRDefault="00AB2BC5" w:rsidP="00AB2BC5">
      <w:pPr>
        <w:rPr>
          <w:iCs/>
        </w:rPr>
      </w:pPr>
      <w:r w:rsidRPr="00313CE4">
        <w:rPr>
          <w:b/>
          <w:bCs/>
          <w:iCs/>
        </w:rPr>
        <w:t>Figure 3b:</w:t>
      </w:r>
      <w:r w:rsidRPr="000045F4">
        <w:rPr>
          <w:iCs/>
        </w:rPr>
        <w:t xml:space="preserve"> Domains of IL concepts &amp; skills*</w:t>
      </w:r>
    </w:p>
    <w:tbl>
      <w:tblPr>
        <w:tblStyle w:val="TableGrid"/>
        <w:tblW w:w="0" w:type="auto"/>
        <w:tblLook w:val="04A0" w:firstRow="1" w:lastRow="0" w:firstColumn="1" w:lastColumn="0" w:noHBand="0" w:noVBand="1"/>
        <w:tblCaption w:val="Domains of IL concepts &amp; skills"/>
        <w:tblDescription w:val="Table showing IL domains together with exemplar concepts and skills that determined whether an article was coded with a given domain."/>
      </w:tblPr>
      <w:tblGrid>
        <w:gridCol w:w="3232"/>
        <w:gridCol w:w="6106"/>
      </w:tblGrid>
      <w:tr w:rsidR="00AB2BC5" w14:paraId="7A1AC3F1" w14:textId="77777777" w:rsidTr="00947143">
        <w:tc>
          <w:tcPr>
            <w:tcW w:w="3235" w:type="dxa"/>
          </w:tcPr>
          <w:p w14:paraId="2D72FC9E" w14:textId="77777777" w:rsidR="00AB2BC5" w:rsidRDefault="00AB2BC5" w:rsidP="00947143">
            <w:pPr>
              <w:rPr>
                <w:rFonts w:ascii="Arial" w:hAnsi="Arial" w:cs="Arial"/>
                <w:iCs/>
              </w:rPr>
            </w:pPr>
            <w:r>
              <w:rPr>
                <w:rFonts w:ascii="Arial" w:hAnsi="Arial" w:cs="Arial"/>
                <w:iCs/>
              </w:rPr>
              <w:t>Information Literacy Domains</w:t>
            </w:r>
          </w:p>
        </w:tc>
        <w:tc>
          <w:tcPr>
            <w:tcW w:w="6115" w:type="dxa"/>
          </w:tcPr>
          <w:p w14:paraId="2F520F1E" w14:textId="77777777" w:rsidR="00AB2BC5" w:rsidRDefault="00AB2BC5" w:rsidP="00947143">
            <w:pPr>
              <w:rPr>
                <w:rFonts w:ascii="Arial" w:hAnsi="Arial" w:cs="Arial"/>
                <w:iCs/>
              </w:rPr>
            </w:pPr>
            <w:r>
              <w:rPr>
                <w:rFonts w:ascii="Arial" w:hAnsi="Arial" w:cs="Arial"/>
                <w:iCs/>
              </w:rPr>
              <w:t>Exemplar concepts and skills</w:t>
            </w:r>
          </w:p>
        </w:tc>
      </w:tr>
      <w:tr w:rsidR="00AB2BC5" w14:paraId="19AB0906" w14:textId="77777777" w:rsidTr="00947143">
        <w:tc>
          <w:tcPr>
            <w:tcW w:w="3235" w:type="dxa"/>
          </w:tcPr>
          <w:p w14:paraId="6FDBF0C8" w14:textId="77777777" w:rsidR="00AB2BC5" w:rsidRDefault="00AB2BC5" w:rsidP="00947143">
            <w:pPr>
              <w:rPr>
                <w:rFonts w:ascii="Arial" w:hAnsi="Arial" w:cs="Arial"/>
                <w:iCs/>
              </w:rPr>
            </w:pPr>
            <w:r>
              <w:rPr>
                <w:rFonts w:ascii="Arial" w:hAnsi="Arial" w:cs="Arial"/>
                <w:iCs/>
              </w:rPr>
              <w:t>research organisation</w:t>
            </w:r>
          </w:p>
        </w:tc>
        <w:tc>
          <w:tcPr>
            <w:tcW w:w="6115" w:type="dxa"/>
          </w:tcPr>
          <w:p w14:paraId="63B108CA" w14:textId="77777777" w:rsidR="00AB2BC5" w:rsidRDefault="00AB2BC5" w:rsidP="00947143">
            <w:pPr>
              <w:rPr>
                <w:rFonts w:ascii="Arial" w:hAnsi="Arial" w:cs="Arial"/>
                <w:iCs/>
              </w:rPr>
            </w:pPr>
            <w:r>
              <w:rPr>
                <w:rFonts w:ascii="Arial" w:hAnsi="Arial" w:cs="Arial"/>
                <w:iCs/>
              </w:rPr>
              <w:t>T</w:t>
            </w:r>
            <w:r w:rsidRPr="000045F4">
              <w:rPr>
                <w:rFonts w:ascii="Arial" w:hAnsi="Arial" w:cs="Arial"/>
                <w:iCs/>
              </w:rPr>
              <w:t>his domain was coded if any of the following concepts and skills were discovered in the article: research conceptualization; clinical question; citation managers; research process documentation</w:t>
            </w:r>
          </w:p>
        </w:tc>
      </w:tr>
      <w:tr w:rsidR="00AB2BC5" w14:paraId="634B6C94" w14:textId="77777777" w:rsidTr="00947143">
        <w:tc>
          <w:tcPr>
            <w:tcW w:w="3235" w:type="dxa"/>
          </w:tcPr>
          <w:p w14:paraId="5185E446" w14:textId="77777777" w:rsidR="00AB2BC5" w:rsidRDefault="00AB2BC5" w:rsidP="00947143">
            <w:pPr>
              <w:rPr>
                <w:rFonts w:ascii="Arial" w:hAnsi="Arial" w:cs="Arial"/>
                <w:iCs/>
              </w:rPr>
            </w:pPr>
            <w:r>
              <w:rPr>
                <w:rFonts w:ascii="Arial" w:hAnsi="Arial" w:cs="Arial"/>
                <w:iCs/>
              </w:rPr>
              <w:t>search syntax</w:t>
            </w:r>
          </w:p>
        </w:tc>
        <w:tc>
          <w:tcPr>
            <w:tcW w:w="6115" w:type="dxa"/>
          </w:tcPr>
          <w:p w14:paraId="18933B02" w14:textId="3E9F16B9" w:rsidR="00AB2BC5" w:rsidRDefault="00AB2BC5" w:rsidP="00947143">
            <w:pPr>
              <w:rPr>
                <w:rFonts w:ascii="Arial" w:hAnsi="Arial" w:cs="Arial"/>
                <w:iCs/>
              </w:rPr>
            </w:pPr>
            <w:r>
              <w:rPr>
                <w:rFonts w:ascii="Arial" w:hAnsi="Arial" w:cs="Arial"/>
                <w:iCs/>
              </w:rPr>
              <w:t>T</w:t>
            </w:r>
            <w:r w:rsidRPr="000045F4">
              <w:rPr>
                <w:rFonts w:ascii="Arial" w:hAnsi="Arial" w:cs="Arial"/>
                <w:iCs/>
              </w:rPr>
              <w:t>his domain was coded if any of the following concepts and skills were discovered in the article: search terms; term modifiers; Boolean operators; proximity; field codes</w:t>
            </w:r>
          </w:p>
        </w:tc>
      </w:tr>
      <w:tr w:rsidR="00AB2BC5" w14:paraId="59F41085" w14:textId="77777777" w:rsidTr="00947143">
        <w:tc>
          <w:tcPr>
            <w:tcW w:w="3235" w:type="dxa"/>
          </w:tcPr>
          <w:p w14:paraId="5F915416" w14:textId="77777777" w:rsidR="00AB2BC5" w:rsidRDefault="00AB2BC5" w:rsidP="00947143">
            <w:pPr>
              <w:rPr>
                <w:rFonts w:ascii="Arial" w:hAnsi="Arial" w:cs="Arial"/>
                <w:iCs/>
              </w:rPr>
            </w:pPr>
            <w:r>
              <w:rPr>
                <w:rFonts w:ascii="Arial" w:hAnsi="Arial" w:cs="Arial"/>
                <w:iCs/>
              </w:rPr>
              <w:lastRenderedPageBreak/>
              <w:t>Information architecture</w:t>
            </w:r>
          </w:p>
        </w:tc>
        <w:tc>
          <w:tcPr>
            <w:tcW w:w="6115" w:type="dxa"/>
          </w:tcPr>
          <w:p w14:paraId="6553C687" w14:textId="77777777" w:rsidR="00AB2BC5" w:rsidRDefault="00AB2BC5" w:rsidP="00947143">
            <w:pPr>
              <w:tabs>
                <w:tab w:val="left" w:pos="1275"/>
              </w:tabs>
              <w:rPr>
                <w:rFonts w:ascii="Arial" w:hAnsi="Arial" w:cs="Arial"/>
                <w:iCs/>
              </w:rPr>
            </w:pPr>
            <w:r>
              <w:rPr>
                <w:rFonts w:ascii="Arial" w:hAnsi="Arial" w:cs="Arial"/>
                <w:iCs/>
              </w:rPr>
              <w:t>T</w:t>
            </w:r>
            <w:r w:rsidRPr="000045F4">
              <w:rPr>
                <w:rFonts w:ascii="Arial" w:hAnsi="Arial" w:cs="Arial"/>
                <w:iCs/>
              </w:rPr>
              <w:t>his domain was coded if any of the following concepts and skills were discovered in the article: database navigation; citation mining; controlled vocabularies; algorithmic “relevancy”; algorithms; subscriptions</w:t>
            </w:r>
          </w:p>
        </w:tc>
      </w:tr>
      <w:tr w:rsidR="00AB2BC5" w14:paraId="0AB8DEEC" w14:textId="77777777" w:rsidTr="00947143">
        <w:tc>
          <w:tcPr>
            <w:tcW w:w="3235" w:type="dxa"/>
          </w:tcPr>
          <w:p w14:paraId="032A923D" w14:textId="77777777" w:rsidR="00AB2BC5" w:rsidRDefault="00AB2BC5" w:rsidP="00947143">
            <w:pPr>
              <w:rPr>
                <w:rFonts w:ascii="Arial" w:hAnsi="Arial" w:cs="Arial"/>
                <w:iCs/>
              </w:rPr>
            </w:pPr>
            <w:r>
              <w:rPr>
                <w:rFonts w:ascii="Arial" w:hAnsi="Arial" w:cs="Arial"/>
                <w:iCs/>
              </w:rPr>
              <w:t>information equity</w:t>
            </w:r>
          </w:p>
        </w:tc>
        <w:tc>
          <w:tcPr>
            <w:tcW w:w="6115" w:type="dxa"/>
          </w:tcPr>
          <w:p w14:paraId="1338F26C" w14:textId="77777777" w:rsidR="00AB2BC5" w:rsidRDefault="00AB2BC5" w:rsidP="00947143">
            <w:pPr>
              <w:rPr>
                <w:rFonts w:ascii="Arial" w:hAnsi="Arial" w:cs="Arial"/>
                <w:iCs/>
              </w:rPr>
            </w:pPr>
            <w:r>
              <w:rPr>
                <w:rFonts w:ascii="Arial" w:hAnsi="Arial" w:cs="Arial"/>
                <w:iCs/>
              </w:rPr>
              <w:t>T</w:t>
            </w:r>
            <w:r w:rsidRPr="000045F4">
              <w:rPr>
                <w:rFonts w:ascii="Arial" w:hAnsi="Arial" w:cs="Arial"/>
                <w:iCs/>
              </w:rPr>
              <w:t>his domain was coded if any of the following concepts and skills were discovered in the article: access; ethical reuse</w:t>
            </w:r>
          </w:p>
        </w:tc>
      </w:tr>
      <w:tr w:rsidR="00AB2BC5" w14:paraId="0D9A88F0" w14:textId="77777777" w:rsidTr="00947143">
        <w:tc>
          <w:tcPr>
            <w:tcW w:w="3235" w:type="dxa"/>
          </w:tcPr>
          <w:p w14:paraId="714CCB5D" w14:textId="77777777" w:rsidR="00AB2BC5" w:rsidRDefault="00AB2BC5" w:rsidP="00947143">
            <w:pPr>
              <w:rPr>
                <w:rFonts w:ascii="Arial" w:hAnsi="Arial" w:cs="Arial"/>
                <w:iCs/>
              </w:rPr>
            </w:pPr>
            <w:r>
              <w:rPr>
                <w:rFonts w:ascii="Arial" w:hAnsi="Arial" w:cs="Arial"/>
                <w:iCs/>
              </w:rPr>
              <w:t>scholarly communications</w:t>
            </w:r>
          </w:p>
        </w:tc>
        <w:tc>
          <w:tcPr>
            <w:tcW w:w="6115" w:type="dxa"/>
          </w:tcPr>
          <w:p w14:paraId="2A22A181" w14:textId="77777777" w:rsidR="00AB2BC5" w:rsidRDefault="00AB2BC5" w:rsidP="00947143">
            <w:pPr>
              <w:rPr>
                <w:rFonts w:ascii="Arial" w:hAnsi="Arial" w:cs="Arial"/>
                <w:iCs/>
              </w:rPr>
            </w:pPr>
            <w:r>
              <w:rPr>
                <w:rFonts w:ascii="Arial" w:hAnsi="Arial" w:cs="Arial"/>
                <w:iCs/>
              </w:rPr>
              <w:t>T</w:t>
            </w:r>
            <w:r w:rsidRPr="000045F4">
              <w:rPr>
                <w:rFonts w:ascii="Arial" w:hAnsi="Arial" w:cs="Arial"/>
                <w:iCs/>
              </w:rPr>
              <w:t>his domain was coded if any of the following concepts and skills were discovered in the article: types of evidence; quality of evidence; credibility of evidence; evidence-based practice; metrics; altmetrics; legal licensing; publication process</w:t>
            </w:r>
          </w:p>
        </w:tc>
      </w:tr>
      <w:tr w:rsidR="00AB2BC5" w14:paraId="6B61D81B" w14:textId="77777777" w:rsidTr="00947143">
        <w:tc>
          <w:tcPr>
            <w:tcW w:w="3235" w:type="dxa"/>
          </w:tcPr>
          <w:p w14:paraId="7C842611" w14:textId="77777777" w:rsidR="00AB2BC5" w:rsidRDefault="00AB2BC5" w:rsidP="00947143">
            <w:pPr>
              <w:rPr>
                <w:rFonts w:ascii="Arial" w:hAnsi="Arial" w:cs="Arial"/>
                <w:iCs/>
              </w:rPr>
            </w:pPr>
            <w:r>
              <w:rPr>
                <w:rFonts w:ascii="Arial" w:hAnsi="Arial" w:cs="Arial"/>
                <w:iCs/>
              </w:rPr>
              <w:t>integrating evidence</w:t>
            </w:r>
          </w:p>
        </w:tc>
        <w:tc>
          <w:tcPr>
            <w:tcW w:w="6115" w:type="dxa"/>
          </w:tcPr>
          <w:p w14:paraId="74B553EE" w14:textId="77777777" w:rsidR="00AB2BC5" w:rsidRDefault="00AB2BC5" w:rsidP="00947143">
            <w:pPr>
              <w:rPr>
                <w:rFonts w:ascii="Arial" w:hAnsi="Arial" w:cs="Arial"/>
                <w:iCs/>
              </w:rPr>
            </w:pPr>
            <w:r>
              <w:rPr>
                <w:rFonts w:ascii="Arial" w:hAnsi="Arial" w:cs="Arial"/>
                <w:iCs/>
              </w:rPr>
              <w:t>T</w:t>
            </w:r>
            <w:r w:rsidRPr="000045F4">
              <w:rPr>
                <w:rFonts w:ascii="Arial" w:hAnsi="Arial" w:cs="Arial"/>
                <w:iCs/>
              </w:rPr>
              <w:t>his domain was coded if any variation of the word “integrate” was coupled with the word “evidence”</w:t>
            </w:r>
          </w:p>
        </w:tc>
      </w:tr>
      <w:tr w:rsidR="00AB2BC5" w14:paraId="2BED5F1F" w14:textId="77777777" w:rsidTr="00947143">
        <w:tc>
          <w:tcPr>
            <w:tcW w:w="3235" w:type="dxa"/>
          </w:tcPr>
          <w:p w14:paraId="23AC6D62" w14:textId="77777777" w:rsidR="00AB2BC5" w:rsidRDefault="00AB2BC5" w:rsidP="00947143">
            <w:pPr>
              <w:rPr>
                <w:rFonts w:ascii="Arial" w:hAnsi="Arial" w:cs="Arial"/>
                <w:iCs/>
              </w:rPr>
            </w:pPr>
            <w:r>
              <w:rPr>
                <w:rFonts w:ascii="Arial" w:hAnsi="Arial" w:cs="Arial"/>
                <w:iCs/>
              </w:rPr>
              <w:t>other</w:t>
            </w:r>
          </w:p>
        </w:tc>
        <w:tc>
          <w:tcPr>
            <w:tcW w:w="6115" w:type="dxa"/>
          </w:tcPr>
          <w:p w14:paraId="28ED1FE5" w14:textId="77777777" w:rsidR="00AB2BC5" w:rsidRDefault="00AB2BC5" w:rsidP="00947143">
            <w:pPr>
              <w:rPr>
                <w:rFonts w:ascii="Arial" w:hAnsi="Arial" w:cs="Arial"/>
                <w:iCs/>
              </w:rPr>
            </w:pPr>
            <w:r>
              <w:rPr>
                <w:rFonts w:ascii="Arial" w:hAnsi="Arial" w:cs="Arial"/>
                <w:iCs/>
              </w:rPr>
              <w:t>This domain was coded if any other skills or concepts not represented by any of the other domains were present</w:t>
            </w:r>
          </w:p>
        </w:tc>
      </w:tr>
    </w:tbl>
    <w:p w14:paraId="4C66F450" w14:textId="77777777" w:rsidR="00AB2BC5" w:rsidRPr="00F90DE8" w:rsidRDefault="00AB2BC5" w:rsidP="00AB2BC5">
      <w:pPr>
        <w:rPr>
          <w:iCs/>
        </w:rPr>
      </w:pPr>
    </w:p>
    <w:p w14:paraId="24B788EA" w14:textId="60230CB8" w:rsidR="00AB2BC5" w:rsidRDefault="00AB2BC5" w:rsidP="00AB2BC5">
      <w:r w:rsidRPr="00F90DE8">
        <w:t>The “other” category (n=23, 18% of total article set, 7% of all domain codes) represents a diverse range of skills, concepts, and domains which may or may not be a part of “information literacy,” but which were included in IL curricula by librarians and collaborators. Some examples of concepts and skills marked in this “other” IL domain category were lifelong learning (Diekema et al., 2019), reading skills (Eldermire et al., 2019), and use of principles of design (Wissinger et al., 2018). We did not originally conceptualise “integrating evidence” within our extraction instrument as an IL domain, but decided to add it after preliminary testing of our instrument revealed a notable minority of articles including this specific wording.</w:t>
      </w:r>
    </w:p>
    <w:p w14:paraId="3BABE754" w14:textId="77777777" w:rsidR="00313CE4" w:rsidRPr="00F90DE8" w:rsidRDefault="00313CE4" w:rsidP="00AB2BC5"/>
    <w:p w14:paraId="300C4968" w14:textId="77777777" w:rsidR="00AB2BC5" w:rsidRPr="00AB2BC5" w:rsidRDefault="00AB2BC5" w:rsidP="00AB2BC5">
      <w:pPr>
        <w:spacing w:after="200"/>
        <w:rPr>
          <w:b/>
          <w:bCs/>
          <w:sz w:val="28"/>
          <w:szCs w:val="28"/>
        </w:rPr>
      </w:pPr>
      <w:r w:rsidRPr="00AB2BC5">
        <w:rPr>
          <w:b/>
          <w:bCs/>
          <w:sz w:val="28"/>
          <w:szCs w:val="28"/>
        </w:rPr>
        <w:t>4. Discussion</w:t>
      </w:r>
    </w:p>
    <w:p w14:paraId="6268F0CC" w14:textId="77777777" w:rsidR="00AB2BC5" w:rsidRPr="00AB2BC5" w:rsidRDefault="00AB2BC5" w:rsidP="00AB2BC5">
      <w:pPr>
        <w:spacing w:before="80" w:after="120"/>
        <w:rPr>
          <w:b/>
          <w:bCs/>
          <w:sz w:val="24"/>
          <w:szCs w:val="24"/>
        </w:rPr>
      </w:pPr>
      <w:r w:rsidRPr="00F90DE8">
        <w:rPr>
          <w:b/>
          <w:bCs/>
          <w:sz w:val="24"/>
          <w:szCs w:val="24"/>
        </w:rPr>
        <w:t>4.1 Limitations</w:t>
      </w:r>
    </w:p>
    <w:p w14:paraId="6EEAB007" w14:textId="4CD65E5A" w:rsidR="00AB2BC5" w:rsidRDefault="00AB2BC5" w:rsidP="00AB2BC5">
      <w:r w:rsidRPr="00F90DE8">
        <w:t xml:space="preserve">This study was undertaken in the fall of 2019 and fell prey to a number of setbacks due to the coronavirus pandemic, as well as unrelated local turnover of nearly 50% of staff in the authors’ library. Updates to the initial article set may reveal a shift in the trends depicted in our results in terms of librarians referencing IL frameworks, including mapping documentation in their publications or explicitly defining the skills and concepts contained in their instruction. </w:t>
      </w:r>
    </w:p>
    <w:p w14:paraId="56EE7E8E" w14:textId="77777777" w:rsidR="00313CE4" w:rsidRPr="00F90DE8" w:rsidRDefault="00313CE4" w:rsidP="00AB2BC5">
      <w:pPr>
        <w:rPr>
          <w:b/>
          <w:bCs/>
        </w:rPr>
      </w:pPr>
    </w:p>
    <w:p w14:paraId="3C6FE84A" w14:textId="77777777" w:rsidR="00AB2BC5" w:rsidRPr="00AB2BC5" w:rsidRDefault="00AB2BC5" w:rsidP="00AB2BC5">
      <w:pPr>
        <w:spacing w:before="80" w:after="120"/>
        <w:rPr>
          <w:b/>
          <w:bCs/>
          <w:sz w:val="24"/>
          <w:szCs w:val="24"/>
        </w:rPr>
      </w:pPr>
      <w:r w:rsidRPr="00AB2BC5">
        <w:rPr>
          <w:b/>
          <w:bCs/>
          <w:sz w:val="24"/>
          <w:szCs w:val="24"/>
        </w:rPr>
        <w:t>4.2 Conclusions</w:t>
      </w:r>
    </w:p>
    <w:p w14:paraId="2C2F4084" w14:textId="57B9C26B" w:rsidR="00AB2BC5" w:rsidRDefault="00AB2BC5" w:rsidP="00AB2BC5">
      <w:r w:rsidRPr="00F90DE8">
        <w:t xml:space="preserve">Current health sciences-specific IL mapping literature is focused on description of how medical librarians teach rather than on </w:t>
      </w:r>
      <w:r w:rsidR="00F25D71">
        <w:t>c</w:t>
      </w:r>
      <w:r>
        <w:t>onceptuali</w:t>
      </w:r>
      <w:r w:rsidR="00F25D71">
        <w:t>s</w:t>
      </w:r>
      <w:r>
        <w:t>ing</w:t>
      </w:r>
      <w:r w:rsidRPr="00F90DE8">
        <w:t xml:space="preserve"> what medical librarians teach within foundational IL and disciplinary frameworks.</w:t>
      </w:r>
      <w:r w:rsidR="004778F8">
        <w:t xml:space="preserve"> </w:t>
      </w:r>
      <w:r w:rsidRPr="00F90DE8">
        <w:t>Literature about mapping IL often lacks an actual definition of IL itself. Close to half of the authors in our dataset publishing articles on IL mapping in health sciences contexts write about designing an IL program</w:t>
      </w:r>
      <w:r w:rsidR="004778F8">
        <w:t>me</w:t>
      </w:r>
      <w:r w:rsidRPr="00F90DE8">
        <w:t xml:space="preserve"> without reporting grounding their work in an IL framework, defining IL in their own words, or describing what skills or concepts they believe represent this specific kind of literacy</w:t>
      </w:r>
      <w:r w:rsidR="004778F8">
        <w:t xml:space="preserve">. </w:t>
      </w:r>
      <w:r w:rsidRPr="00F90DE8">
        <w:t xml:space="preserve">It seems a shared understanding of IL is assumed, which, if it existed, might eliminate the need to provide a definition or </w:t>
      </w:r>
      <w:r w:rsidR="00A0170D">
        <w:t>reference</w:t>
      </w:r>
      <w:r w:rsidR="00A0170D" w:rsidRPr="00F90DE8">
        <w:t xml:space="preserve"> </w:t>
      </w:r>
      <w:r w:rsidRPr="00F90DE8">
        <w:t xml:space="preserve">to a specific framework. However, the diversity of IL concepts and skills present in the literature </w:t>
      </w:r>
      <w:r w:rsidR="00DA70C3">
        <w:t>undermines</w:t>
      </w:r>
      <w:r w:rsidR="00DA70C3" w:rsidRPr="00F90DE8">
        <w:t xml:space="preserve"> </w:t>
      </w:r>
      <w:r w:rsidRPr="00F90DE8">
        <w:t xml:space="preserve">this assumption. </w:t>
      </w:r>
    </w:p>
    <w:p w14:paraId="61A9A47D" w14:textId="77777777" w:rsidR="00313CE4" w:rsidRDefault="00313CE4" w:rsidP="00AB2BC5"/>
    <w:p w14:paraId="2BCAD56E" w14:textId="0149E1D8" w:rsidR="00AB2BC5" w:rsidRDefault="00AB2BC5" w:rsidP="00AB2BC5">
      <w:r>
        <w:t xml:space="preserve">The smaller subset of 12 articles with figurative curriculum maps continue the trend of the larger dataset with regard to diversity of conceptualisation of IL, using terminology so varied that we were unable to categorise what aspects of their curricula librarians were mapping. </w:t>
      </w:r>
      <w:r w:rsidRPr="00666651">
        <w:t>Allen</w:t>
      </w:r>
      <w:r>
        <w:t>’s</w:t>
      </w:r>
      <w:r w:rsidRPr="00666651">
        <w:t xml:space="preserve"> 2017 </w:t>
      </w:r>
      <w:r>
        <w:t>article includes</w:t>
      </w:r>
      <w:r w:rsidRPr="00666651">
        <w:t xml:space="preserve"> a curriculum map (p.</w:t>
      </w:r>
      <w:r>
        <w:t xml:space="preserve"> </w:t>
      </w:r>
      <w:r w:rsidRPr="00666651">
        <w:t>259)</w:t>
      </w:r>
      <w:r>
        <w:t xml:space="preserve"> which</w:t>
      </w:r>
      <w:r w:rsidRPr="00666651">
        <w:t xml:space="preserve"> has learning objectives mapped to </w:t>
      </w:r>
      <w:r>
        <w:t xml:space="preserve">both the </w:t>
      </w:r>
      <w:r w:rsidRPr="00666651">
        <w:lastRenderedPageBreak/>
        <w:t>ACRL standards and framework</w:t>
      </w:r>
      <w:r>
        <w:t xml:space="preserve"> (</w:t>
      </w:r>
      <w:r w:rsidRPr="00ED2846">
        <w:t>Allen, 2017)</w:t>
      </w:r>
      <w:r w:rsidRPr="00666651">
        <w:t>. Some of the included learning objectives include skills and concepts, for example “Use advanced search strategies (i.e., Boolean, phrase searching) to search Cochrane’s database” explicitly calls out Boolean and phrase searching, while others, like “Distinguish between popular and peer-reviewed sources”, could be more explicit in terms of what kinds of behavio</w:t>
      </w:r>
      <w:r w:rsidR="00B35502">
        <w:t>u</w:t>
      </w:r>
      <w:r w:rsidRPr="00666651">
        <w:t>r students will be exhibiting</w:t>
      </w:r>
      <w:r>
        <w:t xml:space="preserve">, and what skills or concepts enable them to distinguish between these concepts </w:t>
      </w:r>
      <w:r w:rsidRPr="00ED2846">
        <w:t>(Allen, 2017)</w:t>
      </w:r>
      <w:r>
        <w:t>.</w:t>
      </w:r>
    </w:p>
    <w:p w14:paraId="6DB9D082" w14:textId="77777777" w:rsidR="00313CE4" w:rsidRPr="00666651" w:rsidRDefault="00313CE4" w:rsidP="00AB2BC5"/>
    <w:p w14:paraId="1F6AAFC2" w14:textId="2C71BE71" w:rsidR="00AB2BC5" w:rsidRDefault="00AB2BC5" w:rsidP="00AB2BC5">
      <w:r w:rsidRPr="00666651">
        <w:t>Bendriss</w:t>
      </w:r>
      <w:r>
        <w:t xml:space="preserve"> et al.’s</w:t>
      </w:r>
      <w:r w:rsidRPr="00666651">
        <w:t xml:space="preserve"> 2015 </w:t>
      </w:r>
      <w:r>
        <w:t xml:space="preserve">article contains </w:t>
      </w:r>
      <w:r w:rsidRPr="00666651">
        <w:t xml:space="preserve">another example </w:t>
      </w:r>
      <w:r>
        <w:t xml:space="preserve">of </w:t>
      </w:r>
      <w:r w:rsidRPr="00666651">
        <w:t xml:space="preserve">learning outcomes </w:t>
      </w:r>
      <w:r>
        <w:t xml:space="preserve">mapped </w:t>
      </w:r>
      <w:r w:rsidRPr="00666651">
        <w:t xml:space="preserve">to ACRL standards </w:t>
      </w:r>
      <w:r>
        <w:t>in addition to</w:t>
      </w:r>
      <w:r w:rsidRPr="00666651">
        <w:t xml:space="preserve"> various</w:t>
      </w:r>
      <w:r>
        <w:t xml:space="preserve"> </w:t>
      </w:r>
      <w:r w:rsidRPr="00666651">
        <w:t>course</w:t>
      </w:r>
      <w:r>
        <w:t xml:space="preserve"> title</w:t>
      </w:r>
      <w:r w:rsidRPr="00666651">
        <w:t>s</w:t>
      </w:r>
      <w:r>
        <w:t xml:space="preserve">, </w:t>
      </w:r>
      <w:r w:rsidRPr="00666651">
        <w:t>assessment questions and activities</w:t>
      </w:r>
      <w:r>
        <w:t xml:space="preserve"> (</w:t>
      </w:r>
      <w:r w:rsidRPr="00ED2846">
        <w:t>Bendriss et al., 2015</w:t>
      </w:r>
      <w:r>
        <w:t>).</w:t>
      </w:r>
      <w:r w:rsidRPr="00666651">
        <w:t xml:space="preserve"> Additionally, Bendriss</w:t>
      </w:r>
      <w:r w:rsidR="00B35502">
        <w:t xml:space="preserve"> </w:t>
      </w:r>
      <w:r w:rsidRPr="00666651">
        <w:t xml:space="preserve">et </w:t>
      </w:r>
      <w:r w:rsidR="00B35502">
        <w:t>a</w:t>
      </w:r>
      <w:r w:rsidRPr="00666651">
        <w:t>l.’s article contains another table entitled a “logic model” which maps learning outcomes not only to expected “impact” on students, but to the associated institutional resources (“inputs”), “activities”, and assessment (“outputs”)</w:t>
      </w:r>
      <w:r>
        <w:t xml:space="preserve"> (</w:t>
      </w:r>
      <w:r w:rsidRPr="00ED2846">
        <w:t>Bendriss et al., 2015</w:t>
      </w:r>
      <w:r w:rsidR="009B283A">
        <w:t xml:space="preserve">, </w:t>
      </w:r>
      <w:r w:rsidR="00492044">
        <w:t>Appendix A, Table A.2</w:t>
      </w:r>
      <w:r>
        <w:t>)</w:t>
      </w:r>
      <w:r w:rsidRPr="00666651">
        <w:t>.</w:t>
      </w:r>
    </w:p>
    <w:p w14:paraId="48A9C5DF" w14:textId="77777777" w:rsidR="00313CE4" w:rsidRPr="00666651" w:rsidRDefault="00313CE4" w:rsidP="00AB2BC5"/>
    <w:p w14:paraId="5AE5744D" w14:textId="6B11B452" w:rsidR="00AB2BC5" w:rsidRDefault="00AB2BC5" w:rsidP="00AB2BC5">
      <w:r>
        <w:t>R</w:t>
      </w:r>
      <w:r w:rsidRPr="00666651">
        <w:t xml:space="preserve">endering judgement on which curriculum maps are better than others, </w:t>
      </w:r>
      <w:r w:rsidR="00A6065A">
        <w:t>in general</w:t>
      </w:r>
      <w:r w:rsidRPr="00666651">
        <w:t xml:space="preserve">, is difficult. If, as Buchanan asserts, a library lacks ownership of a </w:t>
      </w:r>
      <w:r w:rsidR="00A6065A" w:rsidRPr="00666651">
        <w:t>curricul</w:t>
      </w:r>
      <w:r w:rsidR="00A6065A">
        <w:t>um</w:t>
      </w:r>
      <w:r w:rsidRPr="00666651">
        <w:t>, and “Therefore, curriculum mapping efforts in libraries must evaluate how library instruction is mapped to existing curricula”, then any figure with two axes and some representation of both librarian instruction and the curricula of their liaison department would constitute a curriculum map</w:t>
      </w:r>
      <w:r>
        <w:t xml:space="preserve"> </w:t>
      </w:r>
      <w:r w:rsidRPr="00CB1BBD">
        <w:t>(Buchanan et al., 2015)</w:t>
      </w:r>
      <w:r w:rsidRPr="00666651">
        <w:t>. While perhaps true, this definition is not very useful from the perspective of anyone attempting to build a good curriculum map. Harden’s definition of curriculum mapping as a structure which communicates what/when/how things are taught and assessed is much more illuminating and appropriate as an assessment instrument</w:t>
      </w:r>
      <w:r>
        <w:t xml:space="preserve"> </w:t>
      </w:r>
      <w:r w:rsidRPr="00CB1BBD">
        <w:t>(Harden, 2001)</w:t>
      </w:r>
      <w:r w:rsidRPr="00666651">
        <w:t>. Given Harden’s definition, Bendriss et al.’s map is a success and Allen’s is not, as the latter does not include the learning activities, the “how”</w:t>
      </w:r>
      <w:r w:rsidRPr="00CB1BBD">
        <w:t xml:space="preserve"> (Harden, 2001</w:t>
      </w:r>
      <w:r>
        <w:t xml:space="preserve">; </w:t>
      </w:r>
      <w:r w:rsidRPr="00ED2846">
        <w:t>Bendriss et al., 2015; Allen, 2017)</w:t>
      </w:r>
      <w:r w:rsidRPr="00CB1BBD">
        <w:t>)</w:t>
      </w:r>
      <w:r w:rsidRPr="00666651">
        <w:t>.</w:t>
      </w:r>
    </w:p>
    <w:p w14:paraId="35CE5504" w14:textId="77777777" w:rsidR="00313CE4" w:rsidRPr="00666651" w:rsidRDefault="00313CE4" w:rsidP="00AB2BC5"/>
    <w:p w14:paraId="2FAB8B1C" w14:textId="21452EFE" w:rsidR="00AB2BC5" w:rsidRDefault="00AB2BC5" w:rsidP="00AB2BC5">
      <w:r w:rsidRPr="00666651">
        <w:t>Interestingly, Harden’s definition of curriculum mapping would not necessarily require librarians to include IL standards or frameworks in a curriculum map, but this is what all but one of the curriculum maps in our dataset have done</w:t>
      </w:r>
      <w:r>
        <w:t xml:space="preserve"> </w:t>
      </w:r>
      <w:r w:rsidRPr="00ED2846">
        <w:t>(Harden, 2001</w:t>
      </w:r>
      <w:r>
        <w:t>)</w:t>
      </w:r>
      <w:r w:rsidRPr="00666651">
        <w:t xml:space="preserve">. These standards might stand in for the “what”, or even the “how”, but equally a librarian might just </w:t>
      </w:r>
      <w:r w:rsidR="00571ACD" w:rsidRPr="00666651">
        <w:t>conceptuali</w:t>
      </w:r>
      <w:r w:rsidR="00571ACD">
        <w:t>s</w:t>
      </w:r>
      <w:r w:rsidR="00571ACD" w:rsidRPr="00666651">
        <w:t xml:space="preserve">e </w:t>
      </w:r>
      <w:r w:rsidRPr="00666651">
        <w:t>the “what” as “database searching” rather than “</w:t>
      </w:r>
      <w:r>
        <w:t>Searching as strategic exploration</w:t>
      </w:r>
      <w:r w:rsidRPr="00666651">
        <w:t>”</w:t>
      </w:r>
      <w:r>
        <w:t xml:space="preserve"> (ACRL, 2016)</w:t>
      </w:r>
      <w:r w:rsidRPr="00666651">
        <w:t>, and arguably the former is a more informative “what”.</w:t>
      </w:r>
      <w:r>
        <w:t xml:space="preserve"> This may be why we saw a majority of the curriculum maps in our dataset continue to reference the older ACRL Standards (2000) even after the ACRL Framework (2016) was published; the standards, as competencies, were created to be measurable, and therefore have more concrete language (as opposed to the Framework, which </w:t>
      </w:r>
      <w:r w:rsidR="00571ACD">
        <w:t>centres</w:t>
      </w:r>
      <w:r>
        <w:t xml:space="preserve"> on threshold concepts) which is helpful when articulating “what” or “how” you are teaching a concept or skill. </w:t>
      </w:r>
    </w:p>
    <w:p w14:paraId="6E0DA48F" w14:textId="77777777" w:rsidR="00313CE4" w:rsidRPr="00666651" w:rsidRDefault="00313CE4" w:rsidP="00AB2BC5"/>
    <w:p w14:paraId="6304828B" w14:textId="2465A40D" w:rsidR="00AB2BC5" w:rsidRDefault="00AB2BC5" w:rsidP="00AB2BC5">
      <w:r>
        <w:t>In general, the diversity in librarian IL curriculum mapping practices, as well as increasing specialisation within librarianship itself</w:t>
      </w:r>
      <w:r w:rsidR="007506E5">
        <w:t>,</w:t>
      </w:r>
      <w:r>
        <w:t xml:space="preserve"> </w:t>
      </w:r>
      <w:r w:rsidRPr="00F90DE8">
        <w:t>signal</w:t>
      </w:r>
      <w:r>
        <w:t>s</w:t>
      </w:r>
      <w:r w:rsidRPr="00F90DE8">
        <w:t xml:space="preserve"> a growing need </w:t>
      </w:r>
      <w:r>
        <w:t>for</w:t>
      </w:r>
      <w:r w:rsidRPr="00F90DE8">
        <w:t xml:space="preserve"> the kind of cognitive scaffolding curriculum mapping provides (Buchanan et al., 2015; Harden, 2001; Sterz et al., 2019). Data literacy and scholarly communications in particular are emerging as sub-specialties of their own in response to current events and institutional trends, such as the new United States National Institutes of Health Policy for Data Management and Sharing (US National Institutes of Health, 2020), and </w:t>
      </w:r>
      <w:r w:rsidRPr="00F90DE8">
        <w:rPr>
          <w:rFonts w:eastAsia="Calibri"/>
        </w:rPr>
        <w:t xml:space="preserve">the move to a pass/fail grade for the United States medical school STEP Exam </w:t>
      </w:r>
      <w:r w:rsidRPr="00F90DE8">
        <w:rPr>
          <w:szCs w:val="24"/>
        </w:rPr>
        <w:t>(</w:t>
      </w:r>
      <w:r w:rsidRPr="00F90DE8">
        <w:rPr>
          <w:i/>
          <w:iCs/>
          <w:szCs w:val="24"/>
        </w:rPr>
        <w:t>USMLE Step 1 Transition to Pass/Fail Only Score Reporting | USMLE</w:t>
      </w:r>
      <w:r w:rsidRPr="00F90DE8">
        <w:rPr>
          <w:szCs w:val="24"/>
        </w:rPr>
        <w:t>, n.d.)</w:t>
      </w:r>
      <w:r w:rsidRPr="00F90DE8">
        <w:rPr>
          <w:rFonts w:eastAsia="Calibri"/>
        </w:rPr>
        <w:t>. The latter will likely lead students to more vigorously pursue other means of distinguishing themselves such as publication, which in turn could lead to more instruction by medical librarians in scholarly communications</w:t>
      </w:r>
      <w:r w:rsidRPr="00F90DE8">
        <w:t xml:space="preserve">. Those librarians hired as specialists in these areas will require clarification of which concepts and skills fall under the purview of medical librarians, and </w:t>
      </w:r>
      <w:r w:rsidRPr="00F90DE8">
        <w:lastRenderedPageBreak/>
        <w:t>how they connect to the curricula and accreditation standards of the departments with which they liaise.</w:t>
      </w:r>
    </w:p>
    <w:p w14:paraId="6A113F92" w14:textId="77777777" w:rsidR="00313CE4" w:rsidRPr="00F90DE8" w:rsidRDefault="00313CE4" w:rsidP="00AB2BC5"/>
    <w:p w14:paraId="3F10F260" w14:textId="7628923F" w:rsidR="00AB2BC5" w:rsidRDefault="00AB2BC5" w:rsidP="00AB2BC5">
      <w:r w:rsidRPr="00F90DE8">
        <w:t xml:space="preserve">Meanwhile, IL themes like equity in information access (of especial importance to healthcare practitioners who require access to the most recent, highest quality evidence and must also understand their patients’ access to information) may remain niche rather than core aspects of IL unless explicitly </w:t>
      </w:r>
      <w:r w:rsidR="00A945A5" w:rsidRPr="00F90DE8">
        <w:t>conceptuali</w:t>
      </w:r>
      <w:r w:rsidR="00A945A5">
        <w:t>s</w:t>
      </w:r>
      <w:r w:rsidR="00A945A5" w:rsidRPr="00F90DE8">
        <w:t xml:space="preserve">ed </w:t>
      </w:r>
      <w:r w:rsidRPr="00F90DE8">
        <w:t>within the curriculum mapping literature and/or medical librarians’ shared definition of IL.</w:t>
      </w:r>
    </w:p>
    <w:p w14:paraId="2502150E" w14:textId="77777777" w:rsidR="00313CE4" w:rsidRPr="00F90DE8" w:rsidRDefault="00313CE4" w:rsidP="00AB2BC5"/>
    <w:p w14:paraId="082F2B97" w14:textId="6FB026F1" w:rsidR="00AB2BC5" w:rsidRDefault="00AB2BC5" w:rsidP="00AB2BC5">
      <w:r w:rsidRPr="00F90DE8">
        <w:t>Further, the role of EBP within IL curriculum mapping needs further study: EBP as a practice within health disciplines is important</w:t>
      </w:r>
      <w:r w:rsidR="00137CDB">
        <w:t xml:space="preserve"> (Sackett, 1996)</w:t>
      </w:r>
      <w:r w:rsidRPr="00F90DE8">
        <w:t xml:space="preserve">, and librarians are currently employing EBP as an IL framework in curriculum mapping literature more often than actual IL frameworks. This is without explicitly </w:t>
      </w:r>
      <w:r w:rsidR="004D7324" w:rsidRPr="00F90DE8">
        <w:t>conceptuali</w:t>
      </w:r>
      <w:r w:rsidR="004D7324">
        <w:t>s</w:t>
      </w:r>
      <w:r w:rsidR="004D7324" w:rsidRPr="00F90DE8">
        <w:t xml:space="preserve">ing </w:t>
      </w:r>
      <w:r w:rsidRPr="00F90DE8">
        <w:t>points of convergence and divergence between EBP and IL, both at the higher level of IL domains as well as that of more concrete concepts and skills. For example, information “credibility” and “quality” are core aspects of EBP and of the utmost importance to both librarians and healthcare providers; however, Adams (2014) notes</w:t>
      </w:r>
    </w:p>
    <w:p w14:paraId="68663705" w14:textId="77777777" w:rsidR="00313CE4" w:rsidRPr="00F90DE8" w:rsidRDefault="00313CE4" w:rsidP="00AB2BC5"/>
    <w:p w14:paraId="14A7E3C0" w14:textId="53D2EE86" w:rsidR="00AB2BC5" w:rsidRDefault="00AB2BC5" w:rsidP="00AB2BC5">
      <w:pPr>
        <w:ind w:left="720"/>
        <w:rPr>
          <w:rFonts w:eastAsia="Calibri"/>
        </w:rPr>
      </w:pPr>
      <w:r w:rsidRPr="00F90DE8">
        <w:t xml:space="preserve">there is </w:t>
      </w:r>
      <w:r w:rsidRPr="00F90DE8">
        <w:rPr>
          <w:rFonts w:eastAsia="Calibri"/>
        </w:rPr>
        <w:t xml:space="preserve">a divergence between the evaluative methods advanced by IL practitioners and EBP practitioners, in that librarians guide students to consider the authority of the information producer as a gauge of quality while EBP practitioners do not favor authority as a desired construct in evaluating quality (p. 238). </w:t>
      </w:r>
    </w:p>
    <w:p w14:paraId="703AAE11" w14:textId="77777777" w:rsidR="00313CE4" w:rsidRPr="00F90DE8" w:rsidRDefault="00313CE4" w:rsidP="00AB2BC5">
      <w:pPr>
        <w:ind w:left="720"/>
      </w:pPr>
    </w:p>
    <w:p w14:paraId="07D8F074" w14:textId="1634A648" w:rsidR="00AB2BC5" w:rsidRDefault="00AB2BC5" w:rsidP="00AB2BC5">
      <w:r w:rsidRPr="00F90DE8">
        <w:rPr>
          <w:rFonts w:eastAsia="Calibri"/>
        </w:rPr>
        <w:t>T</w:t>
      </w:r>
      <w:r w:rsidRPr="00F90DE8">
        <w:t>he librarian’s role during instruction about evaluating quality is not explicitly discussed in the health sciences IL mapping literature—there are no discussions about determining authority or internal validity, or perhaps more importantly, about which skills demonstrate mastery of these concepts.</w:t>
      </w:r>
    </w:p>
    <w:p w14:paraId="7CDBE567" w14:textId="77777777" w:rsidR="00313CE4" w:rsidRPr="00F90DE8" w:rsidRDefault="00313CE4" w:rsidP="00AB2BC5"/>
    <w:p w14:paraId="288D525B" w14:textId="6ACB8DD2" w:rsidR="00AB2BC5" w:rsidRDefault="00AB2BC5" w:rsidP="00AB2BC5">
      <w:r w:rsidRPr="00F90DE8">
        <w:t>The paucity of explicit definitions of IL, how specific skills and concepts fit within IL frameworks, and how these map to health sciences</w:t>
      </w:r>
      <w:r w:rsidR="003E4D00">
        <w:t>’</w:t>
      </w:r>
      <w:r w:rsidRPr="00F90DE8">
        <w:t xml:space="preserve"> disciplinary curricula and accreditation standards is connected to a lack of shared language around curriculum mapping and the lack of a standardised reporting format for publishing curriculum mapping research. A lack of required coursework on instructional design in MLIS graduate education likely contributes to this issue (Turner, 2016); librarians may not be aware of the utility of curriculum mapping or its relevance to their own instruction contexts. </w:t>
      </w:r>
    </w:p>
    <w:p w14:paraId="6A3A539B" w14:textId="77777777" w:rsidR="00313CE4" w:rsidRPr="00F90DE8" w:rsidRDefault="00313CE4" w:rsidP="00AB2BC5"/>
    <w:p w14:paraId="509D3A16" w14:textId="5AA64B42" w:rsidR="00AB2BC5" w:rsidRDefault="00AB2BC5" w:rsidP="00AB2BC5">
      <w:r w:rsidRPr="00F90DE8">
        <w:t xml:space="preserve">Resource scarcity and faculty status may be other factors influencing medical librarians’ IL curriculum mapping practices. Our study was unable to establish any correlation between faculty status and IL curriculum mapping: only 12 of the articles within our </w:t>
      </w:r>
      <w:r w:rsidRPr="00167942">
        <w:t>127-article</w:t>
      </w:r>
      <w:r w:rsidRPr="00F90DE8">
        <w:t xml:space="preserve"> set explicitly communicated that librarians were faculty, and none of these were the 24 articles that included curriculum maps. Further research is needed to clarify the role of faculty status or organisational culture on IL curriculum mapping by medical librarians.</w:t>
      </w:r>
    </w:p>
    <w:p w14:paraId="38A1F6AC" w14:textId="77777777" w:rsidR="00313CE4" w:rsidRPr="00F90DE8" w:rsidRDefault="00313CE4" w:rsidP="00AB2BC5"/>
    <w:p w14:paraId="3ACA2D58" w14:textId="3880FA34" w:rsidR="00AB2BC5" w:rsidRDefault="00AB2BC5" w:rsidP="00AB2BC5">
      <w:r w:rsidRPr="00F90DE8">
        <w:t>Currently, instructional librarians cannot apply what is learned in others’ curriculum mapping research into their own context without themselves first doing a series of very heavy lifts: reading between the lines of current IL curriculum mapping literature to figure out what others have done and its relevance to their own context, teaching themselves how to do curriculum mapping, isolating IL concepts and skills for themselves, and finally mapping their own IL curricula. To make matters more difficult, several of these tasks seem to be catch-22s: for example, a working knowledge of curriculum-mapping vocabulary is necessary to efficiently search for literature on curriculum mapping.</w:t>
      </w:r>
    </w:p>
    <w:p w14:paraId="470B6EF0" w14:textId="77777777" w:rsidR="00313CE4" w:rsidRPr="00F90DE8" w:rsidRDefault="00313CE4" w:rsidP="00AB2BC5"/>
    <w:p w14:paraId="793A4A27" w14:textId="77777777" w:rsidR="00AB2BC5" w:rsidRPr="00F90DE8" w:rsidRDefault="00AB2BC5" w:rsidP="00AB2BC5">
      <w:pPr>
        <w:spacing w:before="80" w:after="120"/>
        <w:rPr>
          <w:b/>
          <w:bCs/>
          <w:sz w:val="24"/>
          <w:szCs w:val="24"/>
        </w:rPr>
      </w:pPr>
      <w:r w:rsidRPr="00F90DE8">
        <w:rPr>
          <w:b/>
          <w:bCs/>
          <w:sz w:val="24"/>
          <w:szCs w:val="24"/>
        </w:rPr>
        <w:t>4.3 Future steps</w:t>
      </w:r>
    </w:p>
    <w:p w14:paraId="4C3BBB6B" w14:textId="1CABC30F" w:rsidR="00AB2BC5" w:rsidRDefault="00AB2BC5" w:rsidP="00AB2BC5">
      <w:r w:rsidRPr="00F90DE8">
        <w:t>The paucity and incomplete reporting of curriculum mapping documentation (Gulbis et al., 2021) demonstrates the need for more health sciences libraries to report on their research with sufficient detail to enable others to build upon their work.</w:t>
      </w:r>
    </w:p>
    <w:p w14:paraId="0466D013" w14:textId="77777777" w:rsidR="00313CE4" w:rsidRPr="00F90DE8" w:rsidRDefault="00313CE4" w:rsidP="00AB2BC5"/>
    <w:p w14:paraId="2A91DE73" w14:textId="78A9725C" w:rsidR="00AB2BC5" w:rsidRDefault="00AB2BC5" w:rsidP="00AB2BC5">
      <w:r w:rsidRPr="00F90DE8">
        <w:t xml:space="preserve">We encourage researchers publishing their work on curriculum mapping in academic health sciences libraries to explicitly state their own context as well as the various conceptual structures underpinning their instruction, from foundational frameworks to specific skills and concepts at the </w:t>
      </w:r>
      <w:r w:rsidR="004E2799" w:rsidRPr="00F90DE8">
        <w:t>centre</w:t>
      </w:r>
      <w:r w:rsidRPr="00F90DE8">
        <w:t xml:space="preserve"> of their instruction</w:t>
      </w:r>
      <w:r w:rsidR="007E7D6B">
        <w:t>,</w:t>
      </w:r>
      <w:r w:rsidR="004E2799">
        <w:t xml:space="preserve"> </w:t>
      </w:r>
      <w:r>
        <w:t>u</w:t>
      </w:r>
      <w:r w:rsidRPr="00FB5BF6">
        <w:t xml:space="preserve">sing </w:t>
      </w:r>
      <w:r w:rsidR="004E2799" w:rsidRPr="00FB5BF6">
        <w:t>standardi</w:t>
      </w:r>
      <w:r w:rsidR="004E2799">
        <w:t>s</w:t>
      </w:r>
      <w:r w:rsidR="004E2799" w:rsidRPr="00FB5BF6">
        <w:t xml:space="preserve">ed </w:t>
      </w:r>
      <w:r w:rsidRPr="00FB5BF6">
        <w:t>language to structure and reference aspects of instruction when mapping to IL frameworks</w:t>
      </w:r>
      <w:r>
        <w:t>.</w:t>
      </w:r>
    </w:p>
    <w:p w14:paraId="6E8EDF81" w14:textId="77777777" w:rsidR="00AB2BC5" w:rsidRPr="00F90DE8" w:rsidRDefault="00AB2BC5" w:rsidP="00AB2BC5"/>
    <w:p w14:paraId="390FAECE" w14:textId="77777777" w:rsidR="00AB2BC5" w:rsidRPr="00F90DE8" w:rsidRDefault="00AB2BC5" w:rsidP="00AB2BC5">
      <w:pPr>
        <w:spacing w:after="200"/>
        <w:rPr>
          <w:sz w:val="28"/>
          <w:szCs w:val="28"/>
        </w:rPr>
      </w:pPr>
      <w:r w:rsidRPr="00F90DE8">
        <w:rPr>
          <w:b/>
          <w:bCs/>
          <w:sz w:val="28"/>
          <w:szCs w:val="28"/>
        </w:rPr>
        <w:t>References</w:t>
      </w:r>
    </w:p>
    <w:p w14:paraId="29B1E430" w14:textId="179535E0"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Adams, N. E. (2014). </w:t>
      </w:r>
      <w:hyperlink r:id="rId25" w:history="1">
        <w:r w:rsidRPr="001C6573">
          <w:rPr>
            <w:rStyle w:val="Hyperlink"/>
            <w:rFonts w:ascii="Arial" w:hAnsi="Arial" w:cs="Arial"/>
          </w:rPr>
          <w:t>A comparison of evidence-based practice and the ACRL Information Literacy Standards: Implications for information literacy practice</w:t>
        </w:r>
      </w:hyperlink>
      <w:r w:rsidRPr="00F90DE8">
        <w:rPr>
          <w:rFonts w:ascii="Arial" w:hAnsi="Arial" w:cs="Arial"/>
        </w:rPr>
        <w:t xml:space="preserve">. </w:t>
      </w:r>
      <w:r w:rsidRPr="00F90DE8">
        <w:rPr>
          <w:rFonts w:ascii="Arial" w:hAnsi="Arial" w:cs="Arial"/>
          <w:i/>
          <w:iCs/>
        </w:rPr>
        <w:t>College &amp; Research Libraries</w:t>
      </w:r>
      <w:r w:rsidRPr="00F90DE8">
        <w:rPr>
          <w:rFonts w:ascii="Arial" w:hAnsi="Arial" w:cs="Arial"/>
        </w:rPr>
        <w:t xml:space="preserve">, </w:t>
      </w:r>
      <w:r w:rsidRPr="00F90DE8">
        <w:rPr>
          <w:rFonts w:ascii="Arial" w:hAnsi="Arial" w:cs="Arial"/>
          <w:i/>
          <w:iCs/>
        </w:rPr>
        <w:t>75</w:t>
      </w:r>
      <w:r w:rsidRPr="00F90DE8">
        <w:rPr>
          <w:rFonts w:ascii="Arial" w:hAnsi="Arial" w:cs="Arial"/>
        </w:rPr>
        <w:t xml:space="preserve">(2), 232–248. </w:t>
      </w:r>
    </w:p>
    <w:p w14:paraId="288BC6A0" w14:textId="52408EFE"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Agoritsas, T., Vandvik, P. O., Neumann, I., Rochwerg, B., Jaeschke, R., Hayward, R., Guyatt, G., &amp; McKibbon, K. A. (2015). </w:t>
      </w:r>
      <w:hyperlink r:id="rId26" w:history="1">
        <w:r w:rsidRPr="001C6573">
          <w:rPr>
            <w:rStyle w:val="Hyperlink"/>
            <w:rFonts w:ascii="Arial" w:hAnsi="Arial" w:cs="Arial"/>
          </w:rPr>
          <w:t>Finding Current Best Evidence</w:t>
        </w:r>
      </w:hyperlink>
      <w:r w:rsidRPr="00F90DE8">
        <w:rPr>
          <w:rFonts w:ascii="Arial" w:hAnsi="Arial" w:cs="Arial"/>
        </w:rPr>
        <w:t xml:space="preserve">. In G. Guyatt, D. Rennie, M. O. Meade, &amp; D. J. Cook (Eds.), </w:t>
      </w:r>
      <w:r w:rsidRPr="00F90DE8">
        <w:rPr>
          <w:rFonts w:ascii="Arial" w:hAnsi="Arial" w:cs="Arial"/>
          <w:i/>
          <w:iCs/>
        </w:rPr>
        <w:t>Users’ Guides to the Medical Literature: A Manual for Evidence-Based Clinical Practice, 3rd ed</w:t>
      </w:r>
      <w:r w:rsidRPr="00F90DE8">
        <w:rPr>
          <w:rFonts w:ascii="Arial" w:hAnsi="Arial" w:cs="Arial"/>
        </w:rPr>
        <w:t xml:space="preserve"> (Vol. 1–Book, Section). McGraw-Hill Education. </w:t>
      </w:r>
    </w:p>
    <w:p w14:paraId="154FC304" w14:textId="11BA7E18"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Allen, S. (2017). </w:t>
      </w:r>
      <w:hyperlink r:id="rId27" w:history="1">
        <w:r w:rsidRPr="001C6573">
          <w:rPr>
            <w:rStyle w:val="Hyperlink"/>
            <w:rFonts w:ascii="Arial" w:hAnsi="Arial" w:cs="Arial"/>
          </w:rPr>
          <w:t>Mapping uncharted territory: Launching an online embedded librarian program</w:t>
        </w:r>
      </w:hyperlink>
      <w:r w:rsidRPr="00F90DE8">
        <w:rPr>
          <w:rFonts w:ascii="Arial" w:hAnsi="Arial" w:cs="Arial"/>
        </w:rPr>
        <w:t xml:space="preserve">. </w:t>
      </w:r>
      <w:r w:rsidRPr="00F90DE8">
        <w:rPr>
          <w:rFonts w:ascii="Arial" w:hAnsi="Arial" w:cs="Arial"/>
          <w:i/>
          <w:iCs/>
        </w:rPr>
        <w:t>Journal of Library &amp; Information Services in Distance Learning</w:t>
      </w:r>
      <w:r w:rsidRPr="00F90DE8">
        <w:rPr>
          <w:rFonts w:ascii="Arial" w:hAnsi="Arial" w:cs="Arial"/>
        </w:rPr>
        <w:t xml:space="preserve">, </w:t>
      </w:r>
      <w:r w:rsidRPr="00F90DE8">
        <w:rPr>
          <w:rFonts w:ascii="Arial" w:hAnsi="Arial" w:cs="Arial"/>
          <w:i/>
          <w:iCs/>
        </w:rPr>
        <w:t>11</w:t>
      </w:r>
      <w:r w:rsidRPr="00F90DE8">
        <w:rPr>
          <w:rFonts w:ascii="Arial" w:hAnsi="Arial" w:cs="Arial"/>
        </w:rPr>
        <w:t xml:space="preserve">(1/2), 251–261. </w:t>
      </w:r>
    </w:p>
    <w:p w14:paraId="2FF93098" w14:textId="3A840DB3"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Alpi, K., &amp; Hoggan, C. (2016). </w:t>
      </w:r>
      <w:hyperlink r:id="rId28" w:history="1">
        <w:r w:rsidRPr="001C6573">
          <w:rPr>
            <w:rStyle w:val="Hyperlink"/>
            <w:rFonts w:ascii="Arial" w:hAnsi="Arial" w:cs="Arial"/>
          </w:rPr>
          <w:t>Recognizing the value of threshold concepts: Application of a conceptual tool to professional students learning to be researchers</w:t>
        </w:r>
      </w:hyperlink>
      <w:r w:rsidRPr="00F90DE8">
        <w:rPr>
          <w:rFonts w:ascii="Arial" w:hAnsi="Arial" w:cs="Arial"/>
        </w:rPr>
        <w:t xml:space="preserve">. </w:t>
      </w:r>
      <w:r w:rsidRPr="00F90DE8">
        <w:rPr>
          <w:rFonts w:ascii="Arial" w:hAnsi="Arial" w:cs="Arial"/>
          <w:i/>
          <w:iCs/>
        </w:rPr>
        <w:t>Reference Librarian</w:t>
      </w:r>
      <w:r w:rsidRPr="00F90DE8">
        <w:rPr>
          <w:rFonts w:ascii="Arial" w:hAnsi="Arial" w:cs="Arial"/>
        </w:rPr>
        <w:t xml:space="preserve">, </w:t>
      </w:r>
      <w:r w:rsidRPr="00F90DE8">
        <w:rPr>
          <w:rFonts w:ascii="Arial" w:hAnsi="Arial" w:cs="Arial"/>
          <w:i/>
          <w:iCs/>
        </w:rPr>
        <w:t>57</w:t>
      </w:r>
      <w:r w:rsidRPr="00F90DE8">
        <w:rPr>
          <w:rFonts w:ascii="Arial" w:hAnsi="Arial" w:cs="Arial"/>
        </w:rPr>
        <w:t xml:space="preserve">(2), 114–130. </w:t>
      </w:r>
    </w:p>
    <w:p w14:paraId="05C9FD48" w14:textId="770E6198"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Argüelles, C. (2012). </w:t>
      </w:r>
      <w:hyperlink r:id="rId29" w:history="1">
        <w:r w:rsidRPr="001C6573">
          <w:rPr>
            <w:rStyle w:val="Hyperlink"/>
            <w:rFonts w:ascii="Arial" w:hAnsi="Arial" w:cs="Arial"/>
          </w:rPr>
          <w:t>Program-Integrated Information Literacy (PIIL) in a hospital’s nursing department: A practical model</w:t>
        </w:r>
      </w:hyperlink>
      <w:r w:rsidRPr="00F90DE8">
        <w:rPr>
          <w:rFonts w:ascii="Arial" w:hAnsi="Arial" w:cs="Arial"/>
        </w:rPr>
        <w:t xml:space="preserve">. </w:t>
      </w:r>
      <w:r w:rsidRPr="00F90DE8">
        <w:rPr>
          <w:rFonts w:ascii="Arial" w:hAnsi="Arial" w:cs="Arial"/>
          <w:i/>
          <w:iCs/>
        </w:rPr>
        <w:t>Journal of Hospital Librarianship</w:t>
      </w:r>
      <w:r w:rsidRPr="00F90DE8">
        <w:rPr>
          <w:rFonts w:ascii="Arial" w:hAnsi="Arial" w:cs="Arial"/>
        </w:rPr>
        <w:t xml:space="preserve">, </w:t>
      </w:r>
      <w:r w:rsidRPr="00F90DE8">
        <w:rPr>
          <w:rFonts w:ascii="Arial" w:hAnsi="Arial" w:cs="Arial"/>
          <w:i/>
          <w:iCs/>
        </w:rPr>
        <w:t>12</w:t>
      </w:r>
      <w:r w:rsidRPr="00F90DE8">
        <w:rPr>
          <w:rFonts w:ascii="Arial" w:hAnsi="Arial" w:cs="Arial"/>
        </w:rPr>
        <w:t xml:space="preserve">(2), 97–111. </w:t>
      </w:r>
    </w:p>
    <w:p w14:paraId="31066044" w14:textId="7DC2EEB0"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Argüelles, C. (2016). </w:t>
      </w:r>
      <w:hyperlink r:id="rId30" w:history="1">
        <w:r w:rsidRPr="001C6573">
          <w:rPr>
            <w:rStyle w:val="Hyperlink"/>
            <w:rFonts w:ascii="Arial" w:hAnsi="Arial" w:cs="Arial"/>
          </w:rPr>
          <w:t>Curriculum-Integrated Information Literacy (CIIL) in a community college nursing program: A practical model</w:t>
        </w:r>
      </w:hyperlink>
      <w:r w:rsidRPr="00F90DE8">
        <w:rPr>
          <w:rFonts w:ascii="Arial" w:hAnsi="Arial" w:cs="Arial"/>
        </w:rPr>
        <w:t xml:space="preserve">. </w:t>
      </w:r>
      <w:r w:rsidRPr="00F90DE8">
        <w:rPr>
          <w:rFonts w:ascii="Arial" w:hAnsi="Arial" w:cs="Arial"/>
          <w:i/>
          <w:iCs/>
        </w:rPr>
        <w:t>Community College Journal of Research and Practice</w:t>
      </w:r>
      <w:r w:rsidRPr="00F90DE8">
        <w:rPr>
          <w:rFonts w:ascii="Arial" w:hAnsi="Arial" w:cs="Arial"/>
        </w:rPr>
        <w:t xml:space="preserve">, </w:t>
      </w:r>
      <w:r w:rsidRPr="00F90DE8">
        <w:rPr>
          <w:rFonts w:ascii="Arial" w:hAnsi="Arial" w:cs="Arial"/>
          <w:i/>
          <w:iCs/>
        </w:rPr>
        <w:t>40</w:t>
      </w:r>
      <w:r w:rsidRPr="00F90DE8">
        <w:rPr>
          <w:rFonts w:ascii="Arial" w:hAnsi="Arial" w:cs="Arial"/>
        </w:rPr>
        <w:t xml:space="preserve">(11), 942–953. </w:t>
      </w:r>
    </w:p>
    <w:p w14:paraId="5CA7D184" w14:textId="3A4BDA7C"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Arksey, H., &amp; O’Malley, L. (2005). </w:t>
      </w:r>
      <w:hyperlink r:id="rId31" w:history="1">
        <w:r w:rsidRPr="001C6573">
          <w:rPr>
            <w:rStyle w:val="Hyperlink"/>
            <w:rFonts w:ascii="Arial" w:hAnsi="Arial" w:cs="Arial"/>
          </w:rPr>
          <w:t>Scoping studies: Towards a methodological framework</w:t>
        </w:r>
      </w:hyperlink>
      <w:r w:rsidRPr="00F90DE8">
        <w:rPr>
          <w:rFonts w:ascii="Arial" w:hAnsi="Arial" w:cs="Arial"/>
        </w:rPr>
        <w:t xml:space="preserve">. </w:t>
      </w:r>
      <w:r w:rsidRPr="00F90DE8">
        <w:rPr>
          <w:rFonts w:ascii="Arial" w:hAnsi="Arial" w:cs="Arial"/>
          <w:i/>
          <w:iCs/>
        </w:rPr>
        <w:t>International Journal of Social Research Methodology</w:t>
      </w:r>
      <w:r w:rsidRPr="00F90DE8">
        <w:rPr>
          <w:rFonts w:ascii="Arial" w:hAnsi="Arial" w:cs="Arial"/>
        </w:rPr>
        <w:t xml:space="preserve">, </w:t>
      </w:r>
      <w:r w:rsidRPr="00F90DE8">
        <w:rPr>
          <w:rFonts w:ascii="Arial" w:hAnsi="Arial" w:cs="Arial"/>
          <w:i/>
          <w:iCs/>
        </w:rPr>
        <w:t>8</w:t>
      </w:r>
      <w:r w:rsidRPr="00F90DE8">
        <w:rPr>
          <w:rFonts w:ascii="Arial" w:hAnsi="Arial" w:cs="Arial"/>
        </w:rPr>
        <w:t xml:space="preserve">(1), 19–32. </w:t>
      </w:r>
    </w:p>
    <w:p w14:paraId="2D1D935D" w14:textId="5C95E4A1" w:rsidR="00AB2BC5" w:rsidRPr="00787561" w:rsidRDefault="00AB2BC5" w:rsidP="00AB2BC5">
      <w:pPr>
        <w:pStyle w:val="Bibliography"/>
        <w:spacing w:after="240" w:line="240" w:lineRule="auto"/>
        <w:ind w:left="0" w:firstLine="0"/>
        <w:rPr>
          <w:rFonts w:ascii="Arial" w:hAnsi="Arial" w:cs="Arial"/>
        </w:rPr>
      </w:pPr>
      <w:r>
        <w:rPr>
          <w:rFonts w:ascii="Arial" w:hAnsi="Arial" w:cs="Arial"/>
        </w:rPr>
        <w:t>Association of College and Research Libraries</w:t>
      </w:r>
      <w:r w:rsidR="004F532A">
        <w:rPr>
          <w:rFonts w:ascii="Arial" w:hAnsi="Arial" w:cs="Arial"/>
        </w:rPr>
        <w:t xml:space="preserve"> (ACRL)</w:t>
      </w:r>
      <w:r>
        <w:rPr>
          <w:rFonts w:ascii="Arial" w:hAnsi="Arial" w:cs="Arial"/>
        </w:rPr>
        <w:t xml:space="preserve">. 2000. </w:t>
      </w:r>
      <w:hyperlink r:id="rId32" w:history="1">
        <w:r w:rsidRPr="001C6573">
          <w:rPr>
            <w:rStyle w:val="Hyperlink"/>
            <w:rFonts w:ascii="Arial" w:hAnsi="Arial" w:cs="Arial"/>
            <w:i/>
            <w:iCs/>
          </w:rPr>
          <w:t>Information literacy competency standards for Higher Education</w:t>
        </w:r>
      </w:hyperlink>
      <w:r>
        <w:rPr>
          <w:rFonts w:ascii="Arial" w:hAnsi="Arial" w:cs="Arial"/>
          <w:i/>
          <w:iCs/>
        </w:rPr>
        <w:t xml:space="preserve">. </w:t>
      </w:r>
      <w:r w:rsidR="00CB2EA1">
        <w:rPr>
          <w:rFonts w:ascii="Arial" w:hAnsi="Arial" w:cs="Arial"/>
        </w:rPr>
        <w:t>American Library Association</w:t>
      </w:r>
      <w:r>
        <w:rPr>
          <w:rFonts w:ascii="Arial" w:hAnsi="Arial" w:cs="Arial"/>
        </w:rPr>
        <w:t xml:space="preserve">. </w:t>
      </w:r>
    </w:p>
    <w:p w14:paraId="62AB2B87" w14:textId="0907D876" w:rsidR="00AB2BC5" w:rsidRDefault="00AB2BC5" w:rsidP="00AB2BC5">
      <w:pPr>
        <w:pStyle w:val="Bibliography"/>
        <w:spacing w:after="240" w:line="240" w:lineRule="auto"/>
        <w:ind w:left="0" w:firstLine="0"/>
        <w:rPr>
          <w:rFonts w:ascii="Arial" w:hAnsi="Arial" w:cs="Arial"/>
        </w:rPr>
      </w:pPr>
      <w:r w:rsidRPr="00787561">
        <w:rPr>
          <w:rFonts w:ascii="Arial" w:hAnsi="Arial" w:cs="Arial"/>
        </w:rPr>
        <w:t>Association of College and Research Libraries</w:t>
      </w:r>
      <w:r w:rsidR="004F532A">
        <w:rPr>
          <w:rFonts w:ascii="Arial" w:hAnsi="Arial" w:cs="Arial"/>
        </w:rPr>
        <w:t xml:space="preserve"> (ACRL)</w:t>
      </w:r>
      <w:r w:rsidRPr="00787561">
        <w:rPr>
          <w:rFonts w:ascii="Arial" w:hAnsi="Arial" w:cs="Arial"/>
        </w:rPr>
        <w:t xml:space="preserve">. </w:t>
      </w:r>
      <w:r>
        <w:rPr>
          <w:rFonts w:ascii="Arial" w:hAnsi="Arial" w:cs="Arial"/>
        </w:rPr>
        <w:t xml:space="preserve">(2016). </w:t>
      </w:r>
      <w:hyperlink r:id="rId33" w:history="1">
        <w:r w:rsidRPr="001C6573">
          <w:rPr>
            <w:rStyle w:val="Hyperlink"/>
            <w:rFonts w:ascii="Arial" w:hAnsi="Arial" w:cs="Arial"/>
            <w:i/>
            <w:iCs/>
          </w:rPr>
          <w:t>Framework for information literacy for higher education</w:t>
        </w:r>
      </w:hyperlink>
      <w:r>
        <w:rPr>
          <w:rFonts w:ascii="Arial" w:hAnsi="Arial" w:cs="Arial"/>
        </w:rPr>
        <w:t xml:space="preserve">. </w:t>
      </w:r>
      <w:r w:rsidR="00CB2EA1">
        <w:rPr>
          <w:rFonts w:ascii="Arial" w:hAnsi="Arial" w:cs="Arial"/>
        </w:rPr>
        <w:t>American Library Association</w:t>
      </w:r>
      <w:r w:rsidRPr="00787561">
        <w:rPr>
          <w:rFonts w:ascii="Arial" w:hAnsi="Arial" w:cs="Arial"/>
        </w:rPr>
        <w:t xml:space="preserve">. </w:t>
      </w:r>
    </w:p>
    <w:p w14:paraId="5BB1C497" w14:textId="03725B13" w:rsidR="00AB2BC5" w:rsidRDefault="00AB2BC5" w:rsidP="00AB2BC5">
      <w:pPr>
        <w:pStyle w:val="Bibliography"/>
        <w:spacing w:after="240" w:line="240" w:lineRule="auto"/>
        <w:ind w:left="0" w:firstLine="0"/>
        <w:rPr>
          <w:rFonts w:ascii="Arial" w:hAnsi="Arial" w:cs="Arial"/>
        </w:rPr>
      </w:pPr>
      <w:r w:rsidRPr="005C46E1">
        <w:rPr>
          <w:rFonts w:ascii="Arial" w:hAnsi="Arial" w:cs="Arial"/>
        </w:rPr>
        <w:t>Association of College and Research Libraries</w:t>
      </w:r>
      <w:r w:rsidR="004F532A">
        <w:rPr>
          <w:rFonts w:ascii="Arial" w:hAnsi="Arial" w:cs="Arial"/>
        </w:rPr>
        <w:t xml:space="preserve"> (ACRL)</w:t>
      </w:r>
      <w:r w:rsidRPr="005C46E1">
        <w:rPr>
          <w:rFonts w:ascii="Arial" w:hAnsi="Arial" w:cs="Arial"/>
        </w:rPr>
        <w:t>. Working Group on Global</w:t>
      </w:r>
      <w:r>
        <w:rPr>
          <w:rFonts w:ascii="Arial" w:hAnsi="Arial" w:cs="Arial"/>
        </w:rPr>
        <w:t xml:space="preserve"> </w:t>
      </w:r>
      <w:r w:rsidRPr="005C46E1">
        <w:rPr>
          <w:rFonts w:ascii="Arial" w:hAnsi="Arial" w:cs="Arial"/>
        </w:rPr>
        <w:t>Perspectives for Information Literacy, Student Learning and Information Literacy Committee.</w:t>
      </w:r>
      <w:r>
        <w:rPr>
          <w:rFonts w:ascii="Arial" w:hAnsi="Arial" w:cs="Arial"/>
        </w:rPr>
        <w:t xml:space="preserve"> (2017).</w:t>
      </w:r>
      <w:r w:rsidRPr="005C46E1">
        <w:rPr>
          <w:rFonts w:ascii="Arial" w:hAnsi="Arial" w:cs="Arial"/>
        </w:rPr>
        <w:t xml:space="preserve"> </w:t>
      </w:r>
      <w:hyperlink r:id="rId34" w:history="1">
        <w:r w:rsidRPr="001C6573">
          <w:rPr>
            <w:rStyle w:val="Hyperlink"/>
            <w:rFonts w:ascii="Arial" w:hAnsi="Arial" w:cs="Arial"/>
          </w:rPr>
          <w:t>Global Perspectives on Information Literacy: Fostering a Dialogue for International Understanding</w:t>
        </w:r>
      </w:hyperlink>
      <w:r w:rsidRPr="005C46E1">
        <w:rPr>
          <w:rFonts w:ascii="Arial" w:hAnsi="Arial" w:cs="Arial"/>
        </w:rPr>
        <w:t xml:space="preserve">. </w:t>
      </w:r>
      <w:r w:rsidR="00CB2EA1">
        <w:rPr>
          <w:rFonts w:ascii="Arial" w:hAnsi="Arial" w:cs="Arial"/>
        </w:rPr>
        <w:t>American Library Association</w:t>
      </w:r>
      <w:r>
        <w:rPr>
          <w:rFonts w:ascii="Arial" w:hAnsi="Arial" w:cs="Arial"/>
        </w:rPr>
        <w:t xml:space="preserve">. </w:t>
      </w:r>
    </w:p>
    <w:p w14:paraId="4DCFB9EF" w14:textId="6196F026"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lastRenderedPageBreak/>
        <w:t xml:space="preserve">Bendriss, R., Saliba, R., &amp; Birch, S. (2015). </w:t>
      </w:r>
      <w:hyperlink r:id="rId35" w:history="1">
        <w:r w:rsidRPr="001C6573">
          <w:rPr>
            <w:rStyle w:val="Hyperlink"/>
            <w:rFonts w:ascii="Arial" w:hAnsi="Arial" w:cs="Arial"/>
          </w:rPr>
          <w:t>Faculty and librarians’ partnership: Designing a new framework to develop information fluent future doctors</w:t>
        </w:r>
      </w:hyperlink>
      <w:r w:rsidRPr="00F90DE8">
        <w:rPr>
          <w:rFonts w:ascii="Arial" w:hAnsi="Arial" w:cs="Arial"/>
        </w:rPr>
        <w:t xml:space="preserve">. </w:t>
      </w:r>
      <w:r w:rsidRPr="00F90DE8">
        <w:rPr>
          <w:rFonts w:ascii="Arial" w:hAnsi="Arial" w:cs="Arial"/>
          <w:i/>
          <w:iCs/>
        </w:rPr>
        <w:t>The Journal of Academic Librarianship</w:t>
      </w:r>
      <w:r w:rsidRPr="00F90DE8">
        <w:rPr>
          <w:rFonts w:ascii="Arial" w:hAnsi="Arial" w:cs="Arial"/>
        </w:rPr>
        <w:t xml:space="preserve">, </w:t>
      </w:r>
      <w:r w:rsidRPr="00F90DE8">
        <w:rPr>
          <w:rFonts w:ascii="Arial" w:hAnsi="Arial" w:cs="Arial"/>
          <w:i/>
          <w:iCs/>
        </w:rPr>
        <w:t>41</w:t>
      </w:r>
      <w:r w:rsidRPr="00F90DE8">
        <w:rPr>
          <w:rFonts w:ascii="Arial" w:hAnsi="Arial" w:cs="Arial"/>
        </w:rPr>
        <w:t xml:space="preserve">(6), 821–838. </w:t>
      </w:r>
    </w:p>
    <w:p w14:paraId="351CE0F0" w14:textId="7687C515"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Boden, C., &amp; Murphy, S. (2012). </w:t>
      </w:r>
      <w:hyperlink r:id="rId36" w:history="1">
        <w:r w:rsidRPr="001C6573">
          <w:rPr>
            <w:rStyle w:val="Hyperlink"/>
            <w:rFonts w:ascii="Arial" w:hAnsi="Arial" w:cs="Arial"/>
          </w:rPr>
          <w:t>The latent curriculum: Breaking conceptual barriers to information architecture</w:t>
        </w:r>
      </w:hyperlink>
      <w:r w:rsidRPr="00F90DE8">
        <w:rPr>
          <w:rFonts w:ascii="Arial" w:hAnsi="Arial" w:cs="Arial"/>
        </w:rPr>
        <w:t xml:space="preserve">. </w:t>
      </w:r>
      <w:r w:rsidRPr="00F90DE8">
        <w:rPr>
          <w:rFonts w:ascii="Arial" w:hAnsi="Arial" w:cs="Arial"/>
          <w:i/>
          <w:iCs/>
        </w:rPr>
        <w:t>Partnership: The Canadian Journal of Library &amp; Information Practice &amp; Research</w:t>
      </w:r>
      <w:r w:rsidRPr="00F90DE8">
        <w:rPr>
          <w:rFonts w:ascii="Arial" w:hAnsi="Arial" w:cs="Arial"/>
        </w:rPr>
        <w:t xml:space="preserve">, </w:t>
      </w:r>
      <w:r w:rsidRPr="00F90DE8">
        <w:rPr>
          <w:rFonts w:ascii="Arial" w:hAnsi="Arial" w:cs="Arial"/>
          <w:i/>
          <w:iCs/>
        </w:rPr>
        <w:t>7</w:t>
      </w:r>
      <w:r w:rsidRPr="00F90DE8">
        <w:rPr>
          <w:rFonts w:ascii="Arial" w:hAnsi="Arial" w:cs="Arial"/>
        </w:rPr>
        <w:t xml:space="preserve">(1), 1–17. </w:t>
      </w:r>
    </w:p>
    <w:p w14:paraId="2FEE2C3B" w14:textId="51A0AA51"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Boruff, J. T., &amp; Thomas, A. (2011). </w:t>
      </w:r>
      <w:hyperlink r:id="rId37" w:history="1">
        <w:r w:rsidRPr="001C6573">
          <w:rPr>
            <w:rStyle w:val="Hyperlink"/>
            <w:rFonts w:ascii="Arial" w:hAnsi="Arial" w:cs="Arial"/>
          </w:rPr>
          <w:t>Integrating evidence-based practice and information literacy skills in teaching physical and occupational therapy students</w:t>
        </w:r>
      </w:hyperlink>
      <w:r w:rsidRPr="00F90DE8">
        <w:rPr>
          <w:rFonts w:ascii="Arial" w:hAnsi="Arial" w:cs="Arial"/>
        </w:rPr>
        <w:t xml:space="preserve">. </w:t>
      </w:r>
      <w:r w:rsidRPr="00F90DE8">
        <w:rPr>
          <w:rFonts w:ascii="Arial" w:hAnsi="Arial" w:cs="Arial"/>
          <w:i/>
          <w:iCs/>
        </w:rPr>
        <w:t>Health Information &amp; Libraries Journal</w:t>
      </w:r>
      <w:r w:rsidRPr="00F90DE8">
        <w:rPr>
          <w:rFonts w:ascii="Arial" w:hAnsi="Arial" w:cs="Arial"/>
        </w:rPr>
        <w:t xml:space="preserve">, </w:t>
      </w:r>
      <w:r w:rsidRPr="00F90DE8">
        <w:rPr>
          <w:rFonts w:ascii="Arial" w:hAnsi="Arial" w:cs="Arial"/>
          <w:i/>
          <w:iCs/>
        </w:rPr>
        <w:t>28</w:t>
      </w:r>
      <w:r w:rsidRPr="00F90DE8">
        <w:rPr>
          <w:rFonts w:ascii="Arial" w:hAnsi="Arial" w:cs="Arial"/>
        </w:rPr>
        <w:t xml:space="preserve">(4), 264–272. </w:t>
      </w:r>
    </w:p>
    <w:p w14:paraId="5F23B37D" w14:textId="1BB2D0A7"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Bradley, C. (2013). </w:t>
      </w:r>
      <w:hyperlink r:id="rId38" w:history="1">
        <w:r w:rsidRPr="001C6573">
          <w:rPr>
            <w:rStyle w:val="Hyperlink"/>
            <w:rFonts w:ascii="Arial" w:hAnsi="Arial" w:cs="Arial"/>
          </w:rPr>
          <w:t>Information literacy in the programmatic university accreditation standards of select professions in Canada, the United States, the United Kingdom, and Australia</w:t>
        </w:r>
      </w:hyperlink>
      <w:r w:rsidRPr="00F90DE8">
        <w:rPr>
          <w:rFonts w:ascii="Arial" w:hAnsi="Arial" w:cs="Arial"/>
        </w:rPr>
        <w:t xml:space="preserve">. </w:t>
      </w:r>
      <w:r w:rsidRPr="00F90DE8">
        <w:rPr>
          <w:rFonts w:ascii="Arial" w:hAnsi="Arial" w:cs="Arial"/>
          <w:i/>
          <w:iCs/>
        </w:rPr>
        <w:t>Journal of Information Literacy</w:t>
      </w:r>
      <w:r w:rsidRPr="00F90DE8">
        <w:rPr>
          <w:rFonts w:ascii="Arial" w:hAnsi="Arial" w:cs="Arial"/>
        </w:rPr>
        <w:t xml:space="preserve">, </w:t>
      </w:r>
      <w:r w:rsidRPr="00F90DE8">
        <w:rPr>
          <w:rFonts w:ascii="Arial" w:hAnsi="Arial" w:cs="Arial"/>
          <w:i/>
          <w:iCs/>
        </w:rPr>
        <w:t>7</w:t>
      </w:r>
      <w:r w:rsidRPr="00F90DE8">
        <w:rPr>
          <w:rFonts w:ascii="Arial" w:hAnsi="Arial" w:cs="Arial"/>
        </w:rPr>
        <w:t xml:space="preserve">(1), 44–68. </w:t>
      </w:r>
    </w:p>
    <w:p w14:paraId="77A9BD5D" w14:textId="35FB475F"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Brooks, S. V., &amp; Bigelow, S. (2015). </w:t>
      </w:r>
      <w:hyperlink r:id="rId39" w:history="1">
        <w:r w:rsidRPr="001C6573">
          <w:rPr>
            <w:rStyle w:val="Hyperlink"/>
            <w:rFonts w:ascii="Arial" w:hAnsi="Arial" w:cs="Arial"/>
          </w:rPr>
          <w:t>Preparing students for research: Faculty/librarian collaboration in a pre-doctoral physical therapy research course</w:t>
        </w:r>
      </w:hyperlink>
      <w:r w:rsidRPr="00F90DE8">
        <w:rPr>
          <w:rFonts w:ascii="Arial" w:hAnsi="Arial" w:cs="Arial"/>
        </w:rPr>
        <w:t xml:space="preserve">. </w:t>
      </w:r>
      <w:r w:rsidRPr="00F90DE8">
        <w:rPr>
          <w:rFonts w:ascii="Arial" w:hAnsi="Arial" w:cs="Arial"/>
          <w:i/>
          <w:iCs/>
        </w:rPr>
        <w:t>Health Information &amp; Libraries Journal</w:t>
      </w:r>
      <w:r w:rsidRPr="00F90DE8">
        <w:rPr>
          <w:rFonts w:ascii="Arial" w:hAnsi="Arial" w:cs="Arial"/>
        </w:rPr>
        <w:t xml:space="preserve">, </w:t>
      </w:r>
      <w:r w:rsidRPr="00F90DE8">
        <w:rPr>
          <w:rFonts w:ascii="Arial" w:hAnsi="Arial" w:cs="Arial"/>
          <w:i/>
          <w:iCs/>
        </w:rPr>
        <w:t>32</w:t>
      </w:r>
      <w:r w:rsidRPr="00F90DE8">
        <w:rPr>
          <w:rFonts w:ascii="Arial" w:hAnsi="Arial" w:cs="Arial"/>
        </w:rPr>
        <w:t xml:space="preserve">(4), 332–338. </w:t>
      </w:r>
    </w:p>
    <w:p w14:paraId="45D29BC3" w14:textId="03EDE3E7" w:rsidR="00AB2BC5"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Buchanan, H., Webb, K. K., Houk, A. H., &amp; Tingelstad, C. (2015). </w:t>
      </w:r>
      <w:hyperlink r:id="rId40" w:history="1">
        <w:r w:rsidRPr="001C6573">
          <w:rPr>
            <w:rStyle w:val="Hyperlink"/>
            <w:rFonts w:ascii="Arial" w:hAnsi="Arial" w:cs="Arial"/>
          </w:rPr>
          <w:t>Curriculum mapping in academic libraries</w:t>
        </w:r>
      </w:hyperlink>
      <w:r w:rsidRPr="00F90DE8">
        <w:rPr>
          <w:rFonts w:ascii="Arial" w:hAnsi="Arial" w:cs="Arial"/>
        </w:rPr>
        <w:t xml:space="preserve">. </w:t>
      </w:r>
      <w:r w:rsidRPr="00F90DE8">
        <w:rPr>
          <w:rFonts w:ascii="Arial" w:hAnsi="Arial" w:cs="Arial"/>
          <w:i/>
          <w:iCs/>
        </w:rPr>
        <w:t>New Review of Academic Librarianship</w:t>
      </w:r>
      <w:r w:rsidRPr="00F90DE8">
        <w:rPr>
          <w:rFonts w:ascii="Arial" w:hAnsi="Arial" w:cs="Arial"/>
        </w:rPr>
        <w:t xml:space="preserve">, </w:t>
      </w:r>
      <w:r w:rsidRPr="00F90DE8">
        <w:rPr>
          <w:rFonts w:ascii="Arial" w:hAnsi="Arial" w:cs="Arial"/>
          <w:i/>
          <w:iCs/>
        </w:rPr>
        <w:t>21</w:t>
      </w:r>
      <w:r w:rsidRPr="00F90DE8">
        <w:rPr>
          <w:rFonts w:ascii="Arial" w:hAnsi="Arial" w:cs="Arial"/>
        </w:rPr>
        <w:t xml:space="preserve">(1), 94–111. </w:t>
      </w:r>
    </w:p>
    <w:p w14:paraId="15DEDFE6" w14:textId="2413672D" w:rsidR="00313CE4" w:rsidRDefault="00AB2BC5" w:rsidP="00313CE4">
      <w:r w:rsidRPr="00666651">
        <w:t xml:space="preserve">Bundy, A., ed. 2004. </w:t>
      </w:r>
      <w:hyperlink r:id="rId41" w:history="1">
        <w:r w:rsidRPr="001C6573">
          <w:rPr>
            <w:rStyle w:val="Hyperlink"/>
          </w:rPr>
          <w:t>Australian and New Zealand information literacy framework, 2</w:t>
        </w:r>
        <w:r w:rsidRPr="001C6573">
          <w:rPr>
            <w:rStyle w:val="Hyperlink"/>
            <w:vertAlign w:val="superscript"/>
          </w:rPr>
          <w:t>nd</w:t>
        </w:r>
        <w:r w:rsidRPr="001C6573">
          <w:rPr>
            <w:rStyle w:val="Hyperlink"/>
          </w:rPr>
          <w:t xml:space="preserve"> ed</w:t>
        </w:r>
      </w:hyperlink>
      <w:r w:rsidRPr="00666651">
        <w:t xml:space="preserve">. [Online]. Australian and New Zealand Institute for Information Literacy. </w:t>
      </w:r>
    </w:p>
    <w:p w14:paraId="3D1D4FC7" w14:textId="77777777" w:rsidR="00313CE4" w:rsidRDefault="00313CE4" w:rsidP="00313CE4"/>
    <w:p w14:paraId="2911C27A" w14:textId="1769F34E" w:rsidR="00AB2BC5"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Carr, S., Iredell, H., Newton-Smith, C., &amp; Clark, C. (2011). </w:t>
      </w:r>
      <w:hyperlink r:id="rId42" w:history="1">
        <w:r w:rsidRPr="001C6573">
          <w:rPr>
            <w:rStyle w:val="Hyperlink"/>
            <w:rFonts w:ascii="Arial" w:hAnsi="Arial" w:cs="Arial"/>
          </w:rPr>
          <w:t>Evaluation of information literacy skill development in first year medical students</w:t>
        </w:r>
      </w:hyperlink>
      <w:r w:rsidRPr="00F90DE8">
        <w:rPr>
          <w:rFonts w:ascii="Arial" w:hAnsi="Arial" w:cs="Arial"/>
        </w:rPr>
        <w:t xml:space="preserve">. </w:t>
      </w:r>
      <w:r w:rsidRPr="00F90DE8">
        <w:rPr>
          <w:rFonts w:ascii="Arial" w:hAnsi="Arial" w:cs="Arial"/>
          <w:i/>
          <w:iCs/>
        </w:rPr>
        <w:t>Australian Academic &amp; Research Libraries</w:t>
      </w:r>
      <w:r w:rsidRPr="00F90DE8">
        <w:rPr>
          <w:rFonts w:ascii="Arial" w:hAnsi="Arial" w:cs="Arial"/>
        </w:rPr>
        <w:t xml:space="preserve">, </w:t>
      </w:r>
      <w:r w:rsidRPr="00F90DE8">
        <w:rPr>
          <w:rFonts w:ascii="Arial" w:hAnsi="Arial" w:cs="Arial"/>
          <w:i/>
          <w:iCs/>
        </w:rPr>
        <w:t>42</w:t>
      </w:r>
      <w:r w:rsidRPr="00F90DE8">
        <w:rPr>
          <w:rFonts w:ascii="Arial" w:hAnsi="Arial" w:cs="Arial"/>
        </w:rPr>
        <w:t xml:space="preserve">(2), 136–148. </w:t>
      </w:r>
    </w:p>
    <w:p w14:paraId="295E780C" w14:textId="431A608D" w:rsidR="00AB2BC5" w:rsidRDefault="00AB2BC5" w:rsidP="00AB2BC5">
      <w:r w:rsidRPr="00666651">
        <w:t xml:space="preserve">Chartered Institute of Library and Information Professionals (CILIP) (2018) </w:t>
      </w:r>
      <w:hyperlink r:id="rId43" w:history="1">
        <w:r w:rsidRPr="001C6573">
          <w:rPr>
            <w:rStyle w:val="Hyperlink"/>
          </w:rPr>
          <w:t>ILG launch new CILIP information literacy definition</w:t>
        </w:r>
      </w:hyperlink>
      <w:r w:rsidRPr="00666651">
        <w:t xml:space="preserve">. </w:t>
      </w:r>
    </w:p>
    <w:p w14:paraId="36CE1781" w14:textId="77777777" w:rsidR="00313CE4" w:rsidRPr="00FB4259" w:rsidRDefault="00313CE4" w:rsidP="00AB2BC5"/>
    <w:p w14:paraId="283020E7" w14:textId="4AC8C047"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i/>
          <w:iCs/>
        </w:rPr>
        <w:t>Curriculum Inventory</w:t>
      </w:r>
      <w:r w:rsidRPr="00F90DE8">
        <w:rPr>
          <w:rFonts w:ascii="Arial" w:hAnsi="Arial" w:cs="Arial"/>
        </w:rPr>
        <w:t xml:space="preserve">. (n.d.). </w:t>
      </w:r>
      <w:hyperlink r:id="rId44" w:history="1">
        <w:r w:rsidRPr="001C6573">
          <w:rPr>
            <w:rStyle w:val="Hyperlink"/>
            <w:rFonts w:ascii="Arial" w:hAnsi="Arial" w:cs="Arial"/>
          </w:rPr>
          <w:t>AAMC</w:t>
        </w:r>
      </w:hyperlink>
      <w:r w:rsidRPr="00F90DE8">
        <w:rPr>
          <w:rFonts w:ascii="Arial" w:hAnsi="Arial" w:cs="Arial"/>
        </w:rPr>
        <w:t xml:space="preserve">. </w:t>
      </w:r>
    </w:p>
    <w:p w14:paraId="596B0EC4" w14:textId="12853731" w:rsidR="00AB2BC5" w:rsidRPr="00F90DE8" w:rsidRDefault="00941BEE" w:rsidP="00AB2BC5">
      <w:pPr>
        <w:pStyle w:val="Bibliography"/>
        <w:spacing w:after="240" w:line="240" w:lineRule="auto"/>
        <w:ind w:left="0" w:firstLine="0"/>
        <w:rPr>
          <w:rFonts w:ascii="Arial" w:hAnsi="Arial" w:cs="Arial"/>
        </w:rPr>
      </w:pPr>
      <w:hyperlink r:id="rId45" w:history="1">
        <w:r w:rsidR="00AB2BC5" w:rsidRPr="001C6573">
          <w:rPr>
            <w:rStyle w:val="Hyperlink"/>
            <w:rFonts w:ascii="Arial" w:hAnsi="Arial" w:cs="Arial"/>
          </w:rPr>
          <w:t>Curriculum Mapping Information Literacy for Academic Librarians</w:t>
        </w:r>
      </w:hyperlink>
      <w:r w:rsidR="00AB2BC5" w:rsidRPr="00F90DE8">
        <w:rPr>
          <w:rFonts w:ascii="Arial" w:hAnsi="Arial" w:cs="Arial"/>
        </w:rPr>
        <w:t xml:space="preserve">. (n.d.). </w:t>
      </w:r>
      <w:r w:rsidR="00AB2BC5" w:rsidRPr="00F90DE8">
        <w:rPr>
          <w:rFonts w:ascii="Arial" w:hAnsi="Arial" w:cs="Arial"/>
          <w:i/>
          <w:iCs/>
        </w:rPr>
        <w:t>Library Juice Academy</w:t>
      </w:r>
      <w:r w:rsidR="00AB2BC5" w:rsidRPr="00F90DE8">
        <w:rPr>
          <w:rFonts w:ascii="Arial" w:hAnsi="Arial" w:cs="Arial"/>
        </w:rPr>
        <w:t xml:space="preserve">. </w:t>
      </w:r>
    </w:p>
    <w:p w14:paraId="7B224EAA" w14:textId="1BA30CA6"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Dalton, M. (2013). </w:t>
      </w:r>
      <w:hyperlink r:id="rId46" w:history="1">
        <w:r w:rsidRPr="001C6573">
          <w:rPr>
            <w:rStyle w:val="Hyperlink"/>
            <w:rFonts w:ascii="Arial" w:hAnsi="Arial" w:cs="Arial"/>
          </w:rPr>
          <w:t>Developing an evidence-based practice healthcare lens for the SCONUL Seven Pillars of Information Literacy model</w:t>
        </w:r>
      </w:hyperlink>
      <w:r w:rsidRPr="00F90DE8">
        <w:rPr>
          <w:rFonts w:ascii="Arial" w:hAnsi="Arial" w:cs="Arial"/>
        </w:rPr>
        <w:t xml:space="preserve">. </w:t>
      </w:r>
      <w:r w:rsidRPr="00F90DE8">
        <w:rPr>
          <w:rFonts w:ascii="Arial" w:hAnsi="Arial" w:cs="Arial"/>
          <w:i/>
          <w:iCs/>
        </w:rPr>
        <w:t>Journal of Information Literacy</w:t>
      </w:r>
      <w:r w:rsidRPr="00F90DE8">
        <w:rPr>
          <w:rFonts w:ascii="Arial" w:hAnsi="Arial" w:cs="Arial"/>
        </w:rPr>
        <w:t xml:space="preserve">, </w:t>
      </w:r>
      <w:r w:rsidRPr="00F90DE8">
        <w:rPr>
          <w:rFonts w:ascii="Arial" w:hAnsi="Arial" w:cs="Arial"/>
          <w:i/>
          <w:iCs/>
        </w:rPr>
        <w:t>7</w:t>
      </w:r>
      <w:r w:rsidRPr="00F90DE8">
        <w:rPr>
          <w:rFonts w:ascii="Arial" w:hAnsi="Arial" w:cs="Arial"/>
        </w:rPr>
        <w:t xml:space="preserve">(1), 30–43. </w:t>
      </w:r>
    </w:p>
    <w:p w14:paraId="6E30CB50" w14:textId="5928F879"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Dawes, L. (2019). </w:t>
      </w:r>
      <w:hyperlink r:id="rId47" w:history="1">
        <w:r w:rsidRPr="001C6573">
          <w:rPr>
            <w:rStyle w:val="Hyperlink"/>
            <w:rFonts w:ascii="Arial" w:hAnsi="Arial" w:cs="Arial"/>
          </w:rPr>
          <w:t>Through faculty’s eyes: Teaching threshold concepts and the framework</w:t>
        </w:r>
      </w:hyperlink>
      <w:r w:rsidRPr="00F90DE8">
        <w:rPr>
          <w:rFonts w:ascii="Arial" w:hAnsi="Arial" w:cs="Arial"/>
        </w:rPr>
        <w:t xml:space="preserve">. </w:t>
      </w:r>
      <w:r w:rsidRPr="00F90DE8">
        <w:rPr>
          <w:rFonts w:ascii="Arial" w:hAnsi="Arial" w:cs="Arial"/>
          <w:i/>
          <w:iCs/>
        </w:rPr>
        <w:t>Portal: Libraries &amp; the Academy</w:t>
      </w:r>
      <w:r w:rsidRPr="00F90DE8">
        <w:rPr>
          <w:rFonts w:ascii="Arial" w:hAnsi="Arial" w:cs="Arial"/>
        </w:rPr>
        <w:t xml:space="preserve">, </w:t>
      </w:r>
      <w:r w:rsidRPr="00F90DE8">
        <w:rPr>
          <w:rFonts w:ascii="Arial" w:hAnsi="Arial" w:cs="Arial"/>
          <w:i/>
          <w:iCs/>
        </w:rPr>
        <w:t>19</w:t>
      </w:r>
      <w:r w:rsidRPr="00F90DE8">
        <w:rPr>
          <w:rFonts w:ascii="Arial" w:hAnsi="Arial" w:cs="Arial"/>
        </w:rPr>
        <w:t xml:space="preserve">(1), 127–153. </w:t>
      </w:r>
    </w:p>
    <w:p w14:paraId="60F4AA21" w14:textId="13D10E54" w:rsidR="00AB2BC5"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Diekema, A. R., Hopkins, E. (Betsy) S., Patterson, B., &amp; Schvaneveldt, N. (2019). </w:t>
      </w:r>
      <w:hyperlink r:id="rId48" w:history="1">
        <w:r w:rsidRPr="001C6573">
          <w:rPr>
            <w:rStyle w:val="Hyperlink"/>
            <w:rFonts w:ascii="Arial" w:hAnsi="Arial" w:cs="Arial"/>
          </w:rPr>
          <w:t>Using information practices of nurses to reform information literacy instruction in baccalaureate nursing programs</w:t>
        </w:r>
      </w:hyperlink>
      <w:r w:rsidRPr="00F90DE8">
        <w:rPr>
          <w:rFonts w:ascii="Arial" w:hAnsi="Arial" w:cs="Arial"/>
        </w:rPr>
        <w:t xml:space="preserve">. </w:t>
      </w:r>
      <w:r w:rsidRPr="00F90DE8">
        <w:rPr>
          <w:rFonts w:ascii="Arial" w:hAnsi="Arial" w:cs="Arial"/>
          <w:i/>
          <w:iCs/>
        </w:rPr>
        <w:t>Evidence Based Library &amp; Information Practice</w:t>
      </w:r>
      <w:r w:rsidRPr="00F90DE8">
        <w:rPr>
          <w:rFonts w:ascii="Arial" w:hAnsi="Arial" w:cs="Arial"/>
        </w:rPr>
        <w:t xml:space="preserve">, </w:t>
      </w:r>
      <w:r w:rsidRPr="00F90DE8">
        <w:rPr>
          <w:rFonts w:ascii="Arial" w:hAnsi="Arial" w:cs="Arial"/>
          <w:i/>
          <w:iCs/>
        </w:rPr>
        <w:t>14</w:t>
      </w:r>
      <w:r w:rsidRPr="00F90DE8">
        <w:rPr>
          <w:rFonts w:ascii="Arial" w:hAnsi="Arial" w:cs="Arial"/>
        </w:rPr>
        <w:t xml:space="preserve">(4), 72–102. </w:t>
      </w:r>
    </w:p>
    <w:p w14:paraId="7B85CBE5" w14:textId="011B1FC9" w:rsidR="00313CE4" w:rsidRDefault="00AB2BC5" w:rsidP="00AB2BC5">
      <w:pPr>
        <w:pStyle w:val="Bibliography"/>
        <w:spacing w:after="240" w:line="240" w:lineRule="auto"/>
        <w:ind w:left="0" w:firstLine="0"/>
        <w:rPr>
          <w:rFonts w:ascii="Arial" w:hAnsi="Arial" w:cs="Arial"/>
        </w:rPr>
      </w:pPr>
      <w:r w:rsidRPr="000D0245">
        <w:rPr>
          <w:rFonts w:ascii="Arial" w:hAnsi="Arial" w:cs="Arial"/>
        </w:rPr>
        <w:t>Eisenberg, M. (</w:t>
      </w:r>
      <w:r>
        <w:rPr>
          <w:rFonts w:ascii="Arial" w:hAnsi="Arial" w:cs="Arial"/>
        </w:rPr>
        <w:t>n.d.</w:t>
      </w:r>
      <w:r w:rsidRPr="000D0245">
        <w:rPr>
          <w:rFonts w:ascii="Arial" w:hAnsi="Arial" w:cs="Arial"/>
        </w:rPr>
        <w:t xml:space="preserve">). </w:t>
      </w:r>
      <w:hyperlink r:id="rId49" w:history="1">
        <w:r w:rsidRPr="001C6573">
          <w:rPr>
            <w:rStyle w:val="Hyperlink"/>
            <w:rFonts w:ascii="Arial" w:hAnsi="Arial" w:cs="Arial"/>
          </w:rPr>
          <w:t>Big6 skills overview</w:t>
        </w:r>
      </w:hyperlink>
      <w:r>
        <w:rPr>
          <w:rFonts w:ascii="Arial" w:hAnsi="Arial" w:cs="Arial"/>
        </w:rPr>
        <w:t xml:space="preserve">. </w:t>
      </w:r>
      <w:r w:rsidR="000719BC">
        <w:rPr>
          <w:rFonts w:ascii="Arial" w:hAnsi="Arial" w:cs="Arial"/>
        </w:rPr>
        <w:t>thebig6.org.</w:t>
      </w:r>
    </w:p>
    <w:p w14:paraId="252FADC0" w14:textId="089F2250"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Eldermire, E. R. B., Fricke, S., Alpi, K. M., Davies, E., Kepsel, A. C., &amp; Norton, H. F. (2019). </w:t>
      </w:r>
      <w:hyperlink r:id="rId50" w:history="1">
        <w:r w:rsidRPr="001C6573">
          <w:rPr>
            <w:rStyle w:val="Hyperlink"/>
            <w:rFonts w:ascii="Arial" w:hAnsi="Arial" w:cs="Arial"/>
          </w:rPr>
          <w:t>Information seeking and evaluation: A multi-institutional survey of veterinary students</w:t>
        </w:r>
      </w:hyperlink>
      <w:r w:rsidRPr="00F90DE8">
        <w:rPr>
          <w:rFonts w:ascii="Arial" w:hAnsi="Arial" w:cs="Arial"/>
        </w:rPr>
        <w:t xml:space="preserve">. </w:t>
      </w:r>
      <w:r w:rsidRPr="00F90DE8">
        <w:rPr>
          <w:rFonts w:ascii="Arial" w:hAnsi="Arial" w:cs="Arial"/>
          <w:i/>
          <w:iCs/>
        </w:rPr>
        <w:t>Journal of the Medical Library Association</w:t>
      </w:r>
      <w:r w:rsidRPr="00F90DE8">
        <w:rPr>
          <w:rFonts w:ascii="Arial" w:hAnsi="Arial" w:cs="Arial"/>
        </w:rPr>
        <w:t xml:space="preserve">, </w:t>
      </w:r>
      <w:r w:rsidRPr="00F90DE8">
        <w:rPr>
          <w:rFonts w:ascii="Arial" w:hAnsi="Arial" w:cs="Arial"/>
          <w:i/>
          <w:iCs/>
        </w:rPr>
        <w:t>107</w:t>
      </w:r>
      <w:r w:rsidRPr="00F90DE8">
        <w:rPr>
          <w:rFonts w:ascii="Arial" w:hAnsi="Arial" w:cs="Arial"/>
        </w:rPr>
        <w:t xml:space="preserve">(4). </w:t>
      </w:r>
    </w:p>
    <w:p w14:paraId="31295899" w14:textId="5BF404B2"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lastRenderedPageBreak/>
        <w:t xml:space="preserve">Franzen, S., &amp; Bannon, C. M. (2016). </w:t>
      </w:r>
      <w:hyperlink r:id="rId51" w:history="1">
        <w:r w:rsidRPr="001C6573">
          <w:rPr>
            <w:rStyle w:val="Hyperlink"/>
            <w:rFonts w:ascii="Arial" w:hAnsi="Arial" w:cs="Arial"/>
          </w:rPr>
          <w:t>Merging information literacy and evidence-based practice in an undergraduate health sciences curriculum map</w:t>
        </w:r>
      </w:hyperlink>
      <w:r w:rsidRPr="00F90DE8">
        <w:rPr>
          <w:rFonts w:ascii="Arial" w:hAnsi="Arial" w:cs="Arial"/>
        </w:rPr>
        <w:t xml:space="preserve">. </w:t>
      </w:r>
      <w:r w:rsidRPr="00F90DE8">
        <w:rPr>
          <w:rFonts w:ascii="Arial" w:hAnsi="Arial" w:cs="Arial"/>
          <w:i/>
          <w:iCs/>
        </w:rPr>
        <w:t>Communications in Information Literacy</w:t>
      </w:r>
      <w:r w:rsidRPr="00F90DE8">
        <w:rPr>
          <w:rFonts w:ascii="Arial" w:hAnsi="Arial" w:cs="Arial"/>
        </w:rPr>
        <w:t xml:space="preserve">, </w:t>
      </w:r>
      <w:r w:rsidRPr="00F90DE8">
        <w:rPr>
          <w:rFonts w:ascii="Arial" w:hAnsi="Arial" w:cs="Arial"/>
          <w:i/>
          <w:iCs/>
        </w:rPr>
        <w:t>10</w:t>
      </w:r>
      <w:r w:rsidRPr="00F90DE8">
        <w:rPr>
          <w:rFonts w:ascii="Arial" w:hAnsi="Arial" w:cs="Arial"/>
        </w:rPr>
        <w:t xml:space="preserve">(2), 245–263. </w:t>
      </w:r>
    </w:p>
    <w:p w14:paraId="1A38A1C1" w14:textId="3B64F765"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Frati, F. Y. E., Granikov, V., &amp; Pluye, P. (2020). </w:t>
      </w:r>
      <w:hyperlink r:id="rId52" w:history="1">
        <w:r w:rsidRPr="001C6573">
          <w:rPr>
            <w:rStyle w:val="Hyperlink"/>
            <w:rFonts w:ascii="Arial" w:hAnsi="Arial" w:cs="Arial"/>
          </w:rPr>
          <w:t>Using an inquiry-based learning approach to support engagement with information and scholarship in health care education</w:t>
        </w:r>
      </w:hyperlink>
      <w:r w:rsidRPr="00F90DE8">
        <w:rPr>
          <w:rFonts w:ascii="Arial" w:hAnsi="Arial" w:cs="Arial"/>
        </w:rPr>
        <w:t xml:space="preserve">. </w:t>
      </w:r>
      <w:r w:rsidRPr="00F90DE8">
        <w:rPr>
          <w:rFonts w:ascii="Arial" w:hAnsi="Arial" w:cs="Arial"/>
          <w:i/>
          <w:iCs/>
        </w:rPr>
        <w:t>Education for Information</w:t>
      </w:r>
      <w:r w:rsidRPr="00F90DE8">
        <w:rPr>
          <w:rFonts w:ascii="Arial" w:hAnsi="Arial" w:cs="Arial"/>
        </w:rPr>
        <w:t xml:space="preserve">, </w:t>
      </w:r>
      <w:r w:rsidRPr="00F90DE8">
        <w:rPr>
          <w:rFonts w:ascii="Arial" w:hAnsi="Arial" w:cs="Arial"/>
          <w:i/>
          <w:iCs/>
        </w:rPr>
        <w:t>36</w:t>
      </w:r>
      <w:r w:rsidRPr="00F90DE8">
        <w:rPr>
          <w:rFonts w:ascii="Arial" w:hAnsi="Arial" w:cs="Arial"/>
        </w:rPr>
        <w:t xml:space="preserve">(1), 59–67. </w:t>
      </w:r>
    </w:p>
    <w:p w14:paraId="09A2171F" w14:textId="2B73ADDE"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Gulbis, K., Krüger, T., Dittmar, M., &amp; Peters, H. (2021). </w:t>
      </w:r>
      <w:hyperlink r:id="rId53" w:history="1">
        <w:r w:rsidRPr="001C6573">
          <w:rPr>
            <w:rStyle w:val="Hyperlink"/>
            <w:rFonts w:ascii="Arial" w:hAnsi="Arial" w:cs="Arial"/>
          </w:rPr>
          <w:t>Approaches to mapping an undergraduate medical curriculum to a national competency-based catalogue of learning outcomes</w:t>
        </w:r>
      </w:hyperlink>
      <w:r w:rsidRPr="00F90DE8">
        <w:rPr>
          <w:rFonts w:ascii="Arial" w:hAnsi="Arial" w:cs="Arial"/>
        </w:rPr>
        <w:t xml:space="preserve">. </w:t>
      </w:r>
      <w:r w:rsidRPr="00F90DE8">
        <w:rPr>
          <w:rFonts w:ascii="Arial" w:hAnsi="Arial" w:cs="Arial"/>
          <w:i/>
          <w:iCs/>
        </w:rPr>
        <w:t>Medical Teacher</w:t>
      </w:r>
      <w:r w:rsidRPr="00F90DE8">
        <w:rPr>
          <w:rFonts w:ascii="Arial" w:hAnsi="Arial" w:cs="Arial"/>
        </w:rPr>
        <w:t xml:space="preserve">, </w:t>
      </w:r>
      <w:r w:rsidRPr="00F90DE8">
        <w:rPr>
          <w:rFonts w:ascii="Arial" w:hAnsi="Arial" w:cs="Arial"/>
          <w:i/>
          <w:iCs/>
        </w:rPr>
        <w:t>43</w:t>
      </w:r>
      <w:r w:rsidRPr="00F90DE8">
        <w:rPr>
          <w:rFonts w:ascii="Arial" w:hAnsi="Arial" w:cs="Arial"/>
        </w:rPr>
        <w:t xml:space="preserve">(4), 439–447. </w:t>
      </w:r>
    </w:p>
    <w:p w14:paraId="2A5DC7F8" w14:textId="672BB2C2"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Harden, R. M. (2001). </w:t>
      </w:r>
      <w:hyperlink r:id="rId54" w:history="1">
        <w:r w:rsidRPr="001C6573">
          <w:rPr>
            <w:rStyle w:val="Hyperlink"/>
            <w:rFonts w:ascii="Arial" w:hAnsi="Arial" w:cs="Arial"/>
          </w:rPr>
          <w:t xml:space="preserve">AMEE Guide No. 21: Curriculum mapping: </w:t>
        </w:r>
        <w:r w:rsidR="001C6573" w:rsidRPr="001C6573">
          <w:rPr>
            <w:rStyle w:val="Hyperlink"/>
            <w:rFonts w:ascii="Arial" w:hAnsi="Arial" w:cs="Arial"/>
          </w:rPr>
          <w:t xml:space="preserve">A </w:t>
        </w:r>
        <w:r w:rsidRPr="001C6573">
          <w:rPr>
            <w:rStyle w:val="Hyperlink"/>
            <w:rFonts w:ascii="Arial" w:hAnsi="Arial" w:cs="Arial"/>
          </w:rPr>
          <w:t>tool for transparent and authentic teaching and learning</w:t>
        </w:r>
      </w:hyperlink>
      <w:r w:rsidRPr="00F90DE8">
        <w:rPr>
          <w:rFonts w:ascii="Arial" w:hAnsi="Arial" w:cs="Arial"/>
        </w:rPr>
        <w:t xml:space="preserve">. </w:t>
      </w:r>
      <w:r w:rsidRPr="00F90DE8">
        <w:rPr>
          <w:rFonts w:ascii="Arial" w:hAnsi="Arial" w:cs="Arial"/>
          <w:i/>
          <w:iCs/>
        </w:rPr>
        <w:t>Medical Teacher</w:t>
      </w:r>
      <w:r w:rsidRPr="00F90DE8">
        <w:rPr>
          <w:rFonts w:ascii="Arial" w:hAnsi="Arial" w:cs="Arial"/>
        </w:rPr>
        <w:t xml:space="preserve">, </w:t>
      </w:r>
      <w:r w:rsidRPr="00F90DE8">
        <w:rPr>
          <w:rFonts w:ascii="Arial" w:hAnsi="Arial" w:cs="Arial"/>
          <w:i/>
          <w:iCs/>
        </w:rPr>
        <w:t>23</w:t>
      </w:r>
      <w:r w:rsidRPr="00F90DE8">
        <w:rPr>
          <w:rFonts w:ascii="Arial" w:hAnsi="Arial" w:cs="Arial"/>
        </w:rPr>
        <w:t xml:space="preserve">(2), 123–137. </w:t>
      </w:r>
    </w:p>
    <w:p w14:paraId="6ACD4869" w14:textId="1275A71A"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Kolstad, A. K. (2015). </w:t>
      </w:r>
      <w:hyperlink r:id="rId55" w:history="1">
        <w:r w:rsidRPr="001C6573">
          <w:rPr>
            <w:rStyle w:val="Hyperlink"/>
            <w:rFonts w:ascii="Arial" w:hAnsi="Arial" w:cs="Arial"/>
          </w:rPr>
          <w:t>Co-teaching in information literacy during work placements: The librarian’s role</w:t>
        </w:r>
      </w:hyperlink>
      <w:r w:rsidRPr="00F90DE8">
        <w:rPr>
          <w:rFonts w:ascii="Arial" w:hAnsi="Arial" w:cs="Arial"/>
        </w:rPr>
        <w:t xml:space="preserve">. </w:t>
      </w:r>
      <w:r w:rsidRPr="00F90DE8">
        <w:rPr>
          <w:rFonts w:ascii="Arial" w:hAnsi="Arial" w:cs="Arial"/>
          <w:i/>
          <w:iCs/>
        </w:rPr>
        <w:t>LIBER Quarterly: The Journal of the Association of European Research Libraries</w:t>
      </w:r>
      <w:r w:rsidRPr="00F90DE8">
        <w:rPr>
          <w:rFonts w:ascii="Arial" w:hAnsi="Arial" w:cs="Arial"/>
        </w:rPr>
        <w:t xml:space="preserve">, </w:t>
      </w:r>
      <w:r w:rsidRPr="00F90DE8">
        <w:rPr>
          <w:rFonts w:ascii="Arial" w:hAnsi="Arial" w:cs="Arial"/>
          <w:i/>
          <w:iCs/>
        </w:rPr>
        <w:t>25</w:t>
      </w:r>
      <w:r w:rsidRPr="00F90DE8">
        <w:rPr>
          <w:rFonts w:ascii="Arial" w:hAnsi="Arial" w:cs="Arial"/>
        </w:rPr>
        <w:t xml:space="preserve">(2), 56–86. </w:t>
      </w:r>
    </w:p>
    <w:p w14:paraId="605FE3BF" w14:textId="46985621"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Kolstad, A. K. (2017). </w:t>
      </w:r>
      <w:hyperlink r:id="rId56" w:history="1">
        <w:r w:rsidRPr="000719BC">
          <w:rPr>
            <w:rStyle w:val="Hyperlink"/>
            <w:rFonts w:ascii="Arial" w:hAnsi="Arial" w:cs="Arial"/>
          </w:rPr>
          <w:t>Students’ learning outcomes from cross-collaborative supervision in information seeking processes during work placements</w:t>
        </w:r>
      </w:hyperlink>
      <w:r w:rsidRPr="00F90DE8">
        <w:rPr>
          <w:rFonts w:ascii="Arial" w:hAnsi="Arial" w:cs="Arial"/>
        </w:rPr>
        <w:t xml:space="preserve">. </w:t>
      </w:r>
      <w:r w:rsidRPr="00F90DE8">
        <w:rPr>
          <w:rFonts w:ascii="Arial" w:hAnsi="Arial" w:cs="Arial"/>
          <w:i/>
          <w:iCs/>
        </w:rPr>
        <w:t>Nordic Journal of Information Literacy in Higher Education</w:t>
      </w:r>
      <w:r w:rsidRPr="00F90DE8">
        <w:rPr>
          <w:rFonts w:ascii="Arial" w:hAnsi="Arial" w:cs="Arial"/>
        </w:rPr>
        <w:t xml:space="preserve">, </w:t>
      </w:r>
      <w:r w:rsidRPr="00F90DE8">
        <w:rPr>
          <w:rFonts w:ascii="Arial" w:hAnsi="Arial" w:cs="Arial"/>
          <w:i/>
          <w:iCs/>
        </w:rPr>
        <w:t>9</w:t>
      </w:r>
      <w:r w:rsidRPr="00F90DE8">
        <w:rPr>
          <w:rFonts w:ascii="Arial" w:hAnsi="Arial" w:cs="Arial"/>
        </w:rPr>
        <w:t xml:space="preserve">(1). </w:t>
      </w:r>
    </w:p>
    <w:p w14:paraId="59B0FD1D" w14:textId="5D2D06FB"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Kononowicz, A. A., Balcerzak, Ł., Kocurek, A., Stalmach-Przygoda, A., Ciureanu, I.-A., Hege, I., Komenda, M., &amp; Majerník, J. (2020). </w:t>
      </w:r>
      <w:hyperlink r:id="rId57" w:history="1">
        <w:r w:rsidRPr="001C6573">
          <w:rPr>
            <w:rStyle w:val="Hyperlink"/>
            <w:rFonts w:ascii="Arial" w:hAnsi="Arial" w:cs="Arial"/>
          </w:rPr>
          <w:t>Technical infrastructure for curriculum mapping in medical education: A narrative review</w:t>
        </w:r>
      </w:hyperlink>
      <w:r w:rsidRPr="00F90DE8">
        <w:rPr>
          <w:rFonts w:ascii="Arial" w:hAnsi="Arial" w:cs="Arial"/>
        </w:rPr>
        <w:t xml:space="preserve">. </w:t>
      </w:r>
      <w:r w:rsidRPr="00F90DE8">
        <w:rPr>
          <w:rFonts w:ascii="Arial" w:hAnsi="Arial" w:cs="Arial"/>
          <w:i/>
          <w:iCs/>
        </w:rPr>
        <w:t>Bio-Algorithms and Med-Systems</w:t>
      </w:r>
      <w:r w:rsidRPr="00F90DE8">
        <w:rPr>
          <w:rFonts w:ascii="Arial" w:hAnsi="Arial" w:cs="Arial"/>
        </w:rPr>
        <w:t xml:space="preserve">, </w:t>
      </w:r>
      <w:r w:rsidRPr="00F90DE8">
        <w:rPr>
          <w:rFonts w:ascii="Arial" w:hAnsi="Arial" w:cs="Arial"/>
          <w:i/>
          <w:iCs/>
        </w:rPr>
        <w:t>16</w:t>
      </w:r>
      <w:r w:rsidRPr="00F90DE8">
        <w:rPr>
          <w:rFonts w:ascii="Arial" w:hAnsi="Arial" w:cs="Arial"/>
        </w:rPr>
        <w:t xml:space="preserve">(2). </w:t>
      </w:r>
    </w:p>
    <w:p w14:paraId="75EB1C7F" w14:textId="2371A09B"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Lowe, S., &amp; Stone, S. M. (2010). </w:t>
      </w:r>
      <w:hyperlink r:id="rId58" w:history="1">
        <w:r w:rsidRPr="001C6573">
          <w:rPr>
            <w:rStyle w:val="Hyperlink"/>
            <w:rFonts w:ascii="Arial" w:hAnsi="Arial" w:cs="Arial"/>
          </w:rPr>
          <w:t>Information literacy for professional programs: Two case studies at one university</w:t>
        </w:r>
      </w:hyperlink>
      <w:r w:rsidRPr="00F90DE8">
        <w:rPr>
          <w:rFonts w:ascii="Arial" w:hAnsi="Arial" w:cs="Arial"/>
        </w:rPr>
        <w:t xml:space="preserve">. </w:t>
      </w:r>
      <w:r w:rsidRPr="00F90DE8">
        <w:rPr>
          <w:rFonts w:ascii="Arial" w:hAnsi="Arial" w:cs="Arial"/>
          <w:i/>
          <w:iCs/>
        </w:rPr>
        <w:t>Information Outlook</w:t>
      </w:r>
      <w:r w:rsidRPr="00F90DE8">
        <w:rPr>
          <w:rFonts w:ascii="Arial" w:hAnsi="Arial" w:cs="Arial"/>
        </w:rPr>
        <w:t xml:space="preserve">, </w:t>
      </w:r>
      <w:r w:rsidRPr="00F90DE8">
        <w:rPr>
          <w:rFonts w:ascii="Arial" w:hAnsi="Arial" w:cs="Arial"/>
          <w:i/>
          <w:iCs/>
        </w:rPr>
        <w:t>14</w:t>
      </w:r>
      <w:r w:rsidRPr="00F90DE8">
        <w:rPr>
          <w:rFonts w:ascii="Arial" w:hAnsi="Arial" w:cs="Arial"/>
        </w:rPr>
        <w:t xml:space="preserve">(6), 17–23. </w:t>
      </w:r>
    </w:p>
    <w:p w14:paraId="57B1219B" w14:textId="592B107B"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McGuinness, C. (2007). </w:t>
      </w:r>
      <w:hyperlink r:id="rId59" w:history="1">
        <w:r w:rsidRPr="001C6573">
          <w:rPr>
            <w:rStyle w:val="Hyperlink"/>
            <w:rFonts w:ascii="Arial" w:hAnsi="Arial" w:cs="Arial"/>
          </w:rPr>
          <w:t>Exploring strategies for integrated information literacy: From ‘academic champions’ to institution-wide change</w:t>
        </w:r>
      </w:hyperlink>
      <w:r w:rsidRPr="00F90DE8">
        <w:rPr>
          <w:rFonts w:ascii="Arial" w:hAnsi="Arial" w:cs="Arial"/>
        </w:rPr>
        <w:t xml:space="preserve">. </w:t>
      </w:r>
      <w:r w:rsidRPr="00F90DE8">
        <w:rPr>
          <w:rFonts w:ascii="Arial" w:hAnsi="Arial" w:cs="Arial"/>
          <w:i/>
          <w:iCs/>
        </w:rPr>
        <w:t>Communications in Information Literacy</w:t>
      </w:r>
      <w:r w:rsidRPr="00F90DE8">
        <w:rPr>
          <w:rFonts w:ascii="Arial" w:hAnsi="Arial" w:cs="Arial"/>
        </w:rPr>
        <w:t xml:space="preserve">, </w:t>
      </w:r>
      <w:r w:rsidRPr="00F90DE8">
        <w:rPr>
          <w:rFonts w:ascii="Arial" w:hAnsi="Arial" w:cs="Arial"/>
          <w:i/>
          <w:iCs/>
        </w:rPr>
        <w:t>1</w:t>
      </w:r>
      <w:r w:rsidRPr="00F90DE8">
        <w:rPr>
          <w:rFonts w:ascii="Arial" w:hAnsi="Arial" w:cs="Arial"/>
        </w:rPr>
        <w:t xml:space="preserve">(1). </w:t>
      </w:r>
    </w:p>
    <w:p w14:paraId="41631FAF" w14:textId="64242509"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Miller, M., &amp; Neyer, L. (2016). </w:t>
      </w:r>
      <w:hyperlink r:id="rId60" w:history="1">
        <w:r w:rsidRPr="001C6573">
          <w:rPr>
            <w:rStyle w:val="Hyperlink"/>
            <w:rFonts w:ascii="Arial" w:hAnsi="Arial" w:cs="Arial"/>
          </w:rPr>
          <w:t>Mapping information literacy and written communication outcomes in an undergraduate nursing curriculum: A case study in librarian-faculty collaboration</w:t>
        </w:r>
      </w:hyperlink>
      <w:r w:rsidRPr="00F90DE8">
        <w:rPr>
          <w:rFonts w:ascii="Arial" w:hAnsi="Arial" w:cs="Arial"/>
        </w:rPr>
        <w:t xml:space="preserve">. </w:t>
      </w:r>
      <w:r w:rsidRPr="00F90DE8">
        <w:rPr>
          <w:rFonts w:ascii="Arial" w:hAnsi="Arial" w:cs="Arial"/>
          <w:i/>
          <w:iCs/>
        </w:rPr>
        <w:t>Pennsylvania Libraries: Research &amp; Practice</w:t>
      </w:r>
      <w:r w:rsidRPr="00F90DE8">
        <w:rPr>
          <w:rFonts w:ascii="Arial" w:hAnsi="Arial" w:cs="Arial"/>
        </w:rPr>
        <w:t xml:space="preserve">, </w:t>
      </w:r>
      <w:r w:rsidRPr="00F90DE8">
        <w:rPr>
          <w:rFonts w:ascii="Arial" w:hAnsi="Arial" w:cs="Arial"/>
          <w:i/>
          <w:iCs/>
        </w:rPr>
        <w:t>4</w:t>
      </w:r>
      <w:r w:rsidRPr="00F90DE8">
        <w:rPr>
          <w:rFonts w:ascii="Arial" w:hAnsi="Arial" w:cs="Arial"/>
        </w:rPr>
        <w:t xml:space="preserve">(1), 22–34. </w:t>
      </w:r>
    </w:p>
    <w:p w14:paraId="12C35764" w14:textId="59ADA8C1"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Miller, R. K. (2012). </w:t>
      </w:r>
      <w:hyperlink r:id="rId61" w:history="1">
        <w:r w:rsidRPr="003D3BB7">
          <w:rPr>
            <w:rStyle w:val="Hyperlink"/>
            <w:rFonts w:ascii="Arial" w:hAnsi="Arial" w:cs="Arial"/>
          </w:rPr>
          <w:t>Social media, authentic learning and embedded librarianship: A case study of dietetics students</w:t>
        </w:r>
      </w:hyperlink>
      <w:r w:rsidRPr="00F90DE8">
        <w:rPr>
          <w:rFonts w:ascii="Arial" w:hAnsi="Arial" w:cs="Arial"/>
        </w:rPr>
        <w:t xml:space="preserve">. </w:t>
      </w:r>
      <w:r w:rsidRPr="00F90DE8">
        <w:rPr>
          <w:rFonts w:ascii="Arial" w:hAnsi="Arial" w:cs="Arial"/>
          <w:i/>
          <w:iCs/>
        </w:rPr>
        <w:t>Journal of Information Literacy</w:t>
      </w:r>
      <w:r w:rsidRPr="00F90DE8">
        <w:rPr>
          <w:rFonts w:ascii="Arial" w:hAnsi="Arial" w:cs="Arial"/>
        </w:rPr>
        <w:t xml:space="preserve">, </w:t>
      </w:r>
      <w:r w:rsidRPr="00F90DE8">
        <w:rPr>
          <w:rFonts w:ascii="Arial" w:hAnsi="Arial" w:cs="Arial"/>
          <w:i/>
          <w:iCs/>
        </w:rPr>
        <w:t>6</w:t>
      </w:r>
      <w:r w:rsidRPr="00F90DE8">
        <w:rPr>
          <w:rFonts w:ascii="Arial" w:hAnsi="Arial" w:cs="Arial"/>
        </w:rPr>
        <w:t xml:space="preserve">(2), 97. </w:t>
      </w:r>
    </w:p>
    <w:p w14:paraId="6AFC507F" w14:textId="762FCFD3"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Peters, M. D. J., Godfrey, C. M., Khalil, H., McInerney, P., Parker, D., &amp; Soares, C. B. (2015). </w:t>
      </w:r>
      <w:hyperlink r:id="rId62" w:history="1">
        <w:r w:rsidRPr="003D3BB7">
          <w:rPr>
            <w:rStyle w:val="Hyperlink"/>
            <w:rFonts w:ascii="Arial" w:hAnsi="Arial" w:cs="Arial"/>
          </w:rPr>
          <w:t>Guidance for conducting systematic scoping reviews</w:t>
        </w:r>
      </w:hyperlink>
      <w:r w:rsidRPr="00F90DE8">
        <w:rPr>
          <w:rFonts w:ascii="Arial" w:hAnsi="Arial" w:cs="Arial"/>
        </w:rPr>
        <w:t xml:space="preserve">. </w:t>
      </w:r>
      <w:r w:rsidRPr="00F90DE8">
        <w:rPr>
          <w:rFonts w:ascii="Arial" w:hAnsi="Arial" w:cs="Arial"/>
          <w:i/>
          <w:iCs/>
        </w:rPr>
        <w:t>JBI Evidence Implementation</w:t>
      </w:r>
      <w:r w:rsidRPr="00F90DE8">
        <w:rPr>
          <w:rFonts w:ascii="Arial" w:hAnsi="Arial" w:cs="Arial"/>
        </w:rPr>
        <w:t xml:space="preserve">, </w:t>
      </w:r>
      <w:r w:rsidRPr="00F90DE8">
        <w:rPr>
          <w:rFonts w:ascii="Arial" w:hAnsi="Arial" w:cs="Arial"/>
          <w:i/>
          <w:iCs/>
        </w:rPr>
        <w:t>13</w:t>
      </w:r>
      <w:r w:rsidRPr="00F90DE8">
        <w:rPr>
          <w:rFonts w:ascii="Arial" w:hAnsi="Arial" w:cs="Arial"/>
        </w:rPr>
        <w:t xml:space="preserve">(3), 141–146. </w:t>
      </w:r>
    </w:p>
    <w:p w14:paraId="6CA908AD" w14:textId="2344B815"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Phelps, S. F. (2013). </w:t>
      </w:r>
      <w:hyperlink r:id="rId63" w:history="1">
        <w:r w:rsidRPr="003D3BB7">
          <w:rPr>
            <w:rStyle w:val="Hyperlink"/>
            <w:rFonts w:ascii="Arial" w:hAnsi="Arial" w:cs="Arial"/>
          </w:rPr>
          <w:t>Designing the information literacy competency standards for nursing</w:t>
        </w:r>
      </w:hyperlink>
      <w:r w:rsidRPr="00F90DE8">
        <w:rPr>
          <w:rFonts w:ascii="Arial" w:hAnsi="Arial" w:cs="Arial"/>
        </w:rPr>
        <w:t xml:space="preserve">. </w:t>
      </w:r>
      <w:r w:rsidRPr="00F90DE8">
        <w:rPr>
          <w:rFonts w:ascii="Arial" w:hAnsi="Arial" w:cs="Arial"/>
          <w:i/>
          <w:iCs/>
        </w:rPr>
        <w:t>Medical Reference Services Quarterly</w:t>
      </w:r>
      <w:r w:rsidRPr="00F90DE8">
        <w:rPr>
          <w:rFonts w:ascii="Arial" w:hAnsi="Arial" w:cs="Arial"/>
        </w:rPr>
        <w:t xml:space="preserve">, </w:t>
      </w:r>
      <w:r w:rsidRPr="00F90DE8">
        <w:rPr>
          <w:rFonts w:ascii="Arial" w:hAnsi="Arial" w:cs="Arial"/>
          <w:i/>
          <w:iCs/>
        </w:rPr>
        <w:t>32</w:t>
      </w:r>
      <w:r w:rsidRPr="00F90DE8">
        <w:rPr>
          <w:rFonts w:ascii="Arial" w:hAnsi="Arial" w:cs="Arial"/>
        </w:rPr>
        <w:t xml:space="preserve">(1), 111–118. </w:t>
      </w:r>
    </w:p>
    <w:p w14:paraId="2BBECE75" w14:textId="1E56BCCC"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Rawle, F., Bowen, T., Murck, B., &amp; Hong, R. (2017). </w:t>
      </w:r>
      <w:hyperlink r:id="rId64" w:history="1">
        <w:r w:rsidRPr="003D3BB7">
          <w:rPr>
            <w:rStyle w:val="Hyperlink"/>
            <w:rFonts w:ascii="Arial" w:hAnsi="Arial" w:cs="Arial"/>
          </w:rPr>
          <w:t>Curriculum mapping across the disciplines: Differences, approaches, and strategies</w:t>
        </w:r>
      </w:hyperlink>
      <w:r w:rsidRPr="00F90DE8">
        <w:rPr>
          <w:rFonts w:ascii="Arial" w:hAnsi="Arial" w:cs="Arial"/>
        </w:rPr>
        <w:t xml:space="preserve">. </w:t>
      </w:r>
      <w:r w:rsidRPr="00F90DE8">
        <w:rPr>
          <w:rFonts w:ascii="Arial" w:hAnsi="Arial" w:cs="Arial"/>
          <w:i/>
          <w:iCs/>
        </w:rPr>
        <w:t>Collected Essays on Learning and Teaching</w:t>
      </w:r>
      <w:r w:rsidRPr="00F90DE8">
        <w:rPr>
          <w:rFonts w:ascii="Arial" w:hAnsi="Arial" w:cs="Arial"/>
        </w:rPr>
        <w:t xml:space="preserve">, </w:t>
      </w:r>
      <w:r w:rsidRPr="00F90DE8">
        <w:rPr>
          <w:rFonts w:ascii="Arial" w:hAnsi="Arial" w:cs="Arial"/>
          <w:i/>
          <w:iCs/>
        </w:rPr>
        <w:t>10</w:t>
      </w:r>
      <w:r w:rsidRPr="00F90DE8">
        <w:rPr>
          <w:rFonts w:ascii="Arial" w:hAnsi="Arial" w:cs="Arial"/>
        </w:rPr>
        <w:t xml:space="preserve">, 75–88. </w:t>
      </w:r>
    </w:p>
    <w:p w14:paraId="520330D9" w14:textId="0095964F"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Russell, F., Rawson, C., Freestone, C., Currie, M., &amp; Kelly, B. (2018). </w:t>
      </w:r>
      <w:hyperlink r:id="rId65" w:history="1">
        <w:r w:rsidRPr="003D3BB7">
          <w:rPr>
            <w:rStyle w:val="Hyperlink"/>
            <w:rFonts w:ascii="Arial" w:hAnsi="Arial" w:cs="Arial"/>
          </w:rPr>
          <w:t>Parallel lines: A mixed methods impact analysis of co-curricular digital literacy online modules on student results in first-year nursing</w:t>
        </w:r>
      </w:hyperlink>
      <w:r w:rsidRPr="00F90DE8">
        <w:rPr>
          <w:rFonts w:ascii="Arial" w:hAnsi="Arial" w:cs="Arial"/>
        </w:rPr>
        <w:t xml:space="preserve">. </w:t>
      </w:r>
      <w:r w:rsidRPr="00F90DE8">
        <w:rPr>
          <w:rFonts w:ascii="Arial" w:hAnsi="Arial" w:cs="Arial"/>
          <w:i/>
          <w:iCs/>
        </w:rPr>
        <w:t>College &amp; Research Libraries</w:t>
      </w:r>
      <w:r w:rsidRPr="00F90DE8">
        <w:rPr>
          <w:rFonts w:ascii="Arial" w:hAnsi="Arial" w:cs="Arial"/>
        </w:rPr>
        <w:t xml:space="preserve">, </w:t>
      </w:r>
      <w:r w:rsidRPr="00F90DE8">
        <w:rPr>
          <w:rFonts w:ascii="Arial" w:hAnsi="Arial" w:cs="Arial"/>
          <w:i/>
          <w:iCs/>
        </w:rPr>
        <w:t>79</w:t>
      </w:r>
      <w:r w:rsidRPr="00F90DE8">
        <w:rPr>
          <w:rFonts w:ascii="Arial" w:hAnsi="Arial" w:cs="Arial"/>
        </w:rPr>
        <w:t xml:space="preserve">(7), 948–971. </w:t>
      </w:r>
    </w:p>
    <w:p w14:paraId="5F75E692" w14:textId="05B41105" w:rsidR="00AB2BC5" w:rsidRDefault="00AB2BC5" w:rsidP="00AB2BC5">
      <w:pPr>
        <w:pStyle w:val="Bibliography"/>
        <w:spacing w:after="240" w:line="240" w:lineRule="auto"/>
        <w:ind w:left="0" w:firstLine="0"/>
        <w:rPr>
          <w:rFonts w:ascii="Arial" w:hAnsi="Arial" w:cs="Arial"/>
        </w:rPr>
      </w:pPr>
      <w:r w:rsidRPr="00F90DE8">
        <w:rPr>
          <w:rFonts w:ascii="Arial" w:hAnsi="Arial" w:cs="Arial"/>
        </w:rPr>
        <w:lastRenderedPageBreak/>
        <w:t xml:space="preserve">Ryba, H. M., &amp; Pledger, T. (2016). </w:t>
      </w:r>
      <w:hyperlink r:id="rId66" w:history="1">
        <w:r w:rsidRPr="003D3BB7">
          <w:rPr>
            <w:rStyle w:val="Hyperlink"/>
            <w:rFonts w:ascii="Arial" w:hAnsi="Arial" w:cs="Arial"/>
          </w:rPr>
          <w:t>Supporting the teaching of information literacy with first year BSC nursing students: The case for a printed workbook</w:t>
        </w:r>
      </w:hyperlink>
      <w:r w:rsidRPr="00F90DE8">
        <w:rPr>
          <w:rFonts w:ascii="Arial" w:hAnsi="Arial" w:cs="Arial"/>
        </w:rPr>
        <w:t xml:space="preserve">. </w:t>
      </w:r>
      <w:r w:rsidRPr="00F90DE8">
        <w:rPr>
          <w:rFonts w:ascii="Arial" w:hAnsi="Arial" w:cs="Arial"/>
          <w:i/>
          <w:iCs/>
        </w:rPr>
        <w:t>New Review of Academic Librarianship</w:t>
      </w:r>
      <w:r w:rsidRPr="00F90DE8">
        <w:rPr>
          <w:rFonts w:ascii="Arial" w:hAnsi="Arial" w:cs="Arial"/>
        </w:rPr>
        <w:t xml:space="preserve">, </w:t>
      </w:r>
      <w:r w:rsidRPr="00F90DE8">
        <w:rPr>
          <w:rFonts w:ascii="Arial" w:hAnsi="Arial" w:cs="Arial"/>
          <w:i/>
          <w:iCs/>
        </w:rPr>
        <w:t>22</w:t>
      </w:r>
      <w:r w:rsidRPr="00F90DE8">
        <w:rPr>
          <w:rFonts w:ascii="Arial" w:hAnsi="Arial" w:cs="Arial"/>
        </w:rPr>
        <w:t xml:space="preserve">(4), 430–440. </w:t>
      </w:r>
    </w:p>
    <w:p w14:paraId="491B64E7" w14:textId="79119295" w:rsidR="00AB2BC5" w:rsidRDefault="00AB2BC5" w:rsidP="00AB2BC5">
      <w:r w:rsidRPr="00666651">
        <w:t xml:space="preserve">Sackett, D. L. et al. 1996. </w:t>
      </w:r>
      <w:hyperlink r:id="rId67" w:history="1">
        <w:r w:rsidRPr="003D3BB7">
          <w:rPr>
            <w:rStyle w:val="Hyperlink"/>
          </w:rPr>
          <w:t xml:space="preserve">Evidence based medicine: </w:t>
        </w:r>
        <w:r w:rsidR="003D3BB7" w:rsidRPr="003D3BB7">
          <w:rPr>
            <w:rStyle w:val="Hyperlink"/>
          </w:rPr>
          <w:t>W</w:t>
        </w:r>
        <w:r w:rsidRPr="003D3BB7">
          <w:rPr>
            <w:rStyle w:val="Hyperlink"/>
          </w:rPr>
          <w:t>hat it is and what it isn't</w:t>
        </w:r>
      </w:hyperlink>
      <w:r w:rsidRPr="00666651">
        <w:t>. BMJ 312, pp. 71</w:t>
      </w:r>
      <w:r w:rsidR="00985F97">
        <w:softHyphen/>
      </w:r>
      <w:r w:rsidR="00102C0A">
        <w:t>–</w:t>
      </w:r>
      <w:r w:rsidRPr="00666651">
        <w:t xml:space="preserve">72. </w:t>
      </w:r>
    </w:p>
    <w:p w14:paraId="48FDFBFD" w14:textId="77777777" w:rsidR="00313CE4" w:rsidRDefault="00313CE4" w:rsidP="00AB2BC5"/>
    <w:p w14:paraId="52002D42" w14:textId="3A17D82D" w:rsidR="00313CE4" w:rsidRDefault="00AB2BC5" w:rsidP="00313CE4">
      <w:r w:rsidRPr="00493DEA">
        <w:t>Secker, J</w:t>
      </w:r>
      <w:r>
        <w:t>., &amp;</w:t>
      </w:r>
      <w:r w:rsidRPr="00493DEA">
        <w:t xml:space="preserve"> Coonan, E</w:t>
      </w:r>
      <w:r>
        <w:t>.</w:t>
      </w:r>
      <w:r w:rsidRPr="00493DEA">
        <w:t xml:space="preserve"> (2011). </w:t>
      </w:r>
      <w:hyperlink r:id="rId68" w:history="1">
        <w:r w:rsidRPr="003D3BB7">
          <w:rPr>
            <w:rStyle w:val="Hyperlink"/>
          </w:rPr>
          <w:t>A new curriculum for information literacy (ANCIL)</w:t>
        </w:r>
      </w:hyperlink>
      <w:r w:rsidRPr="00493DEA">
        <w:t xml:space="preserve">. Cambridge University Library. </w:t>
      </w:r>
    </w:p>
    <w:p w14:paraId="379EE4B0" w14:textId="77777777" w:rsidR="00313CE4" w:rsidRDefault="00313CE4" w:rsidP="00313CE4"/>
    <w:p w14:paraId="40CC95A4" w14:textId="3FCCFDAE"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Schweikhard, A. J., Hoberecht, T., Peterson, A., &amp; Randall, K. (2018). </w:t>
      </w:r>
      <w:hyperlink r:id="rId69" w:history="1">
        <w:r w:rsidRPr="003D3BB7">
          <w:rPr>
            <w:rStyle w:val="Hyperlink"/>
            <w:rFonts w:ascii="Arial" w:hAnsi="Arial" w:cs="Arial"/>
          </w:rPr>
          <w:t>The impact of library tutorials on the information literacy skills of occupational therapy and physical therapy students in an evidence-based practice course: A rubric assessment</w:t>
        </w:r>
      </w:hyperlink>
      <w:r w:rsidRPr="00F90DE8">
        <w:rPr>
          <w:rFonts w:ascii="Arial" w:hAnsi="Arial" w:cs="Arial"/>
        </w:rPr>
        <w:t xml:space="preserve">. </w:t>
      </w:r>
      <w:r w:rsidRPr="00F90DE8">
        <w:rPr>
          <w:rFonts w:ascii="Arial" w:hAnsi="Arial" w:cs="Arial"/>
          <w:i/>
          <w:iCs/>
        </w:rPr>
        <w:t>Medical Reference Services Quarterly</w:t>
      </w:r>
      <w:r w:rsidRPr="00F90DE8">
        <w:rPr>
          <w:rFonts w:ascii="Arial" w:hAnsi="Arial" w:cs="Arial"/>
        </w:rPr>
        <w:t xml:space="preserve">, </w:t>
      </w:r>
      <w:r w:rsidRPr="00F90DE8">
        <w:rPr>
          <w:rFonts w:ascii="Arial" w:hAnsi="Arial" w:cs="Arial"/>
          <w:i/>
          <w:iCs/>
        </w:rPr>
        <w:t>37</w:t>
      </w:r>
      <w:r w:rsidRPr="00F90DE8">
        <w:rPr>
          <w:rFonts w:ascii="Arial" w:hAnsi="Arial" w:cs="Arial"/>
        </w:rPr>
        <w:t xml:space="preserve">(1), 43–59. </w:t>
      </w:r>
    </w:p>
    <w:p w14:paraId="03959BD5" w14:textId="5C0F836C" w:rsidR="00AB2BC5" w:rsidRDefault="00AB2BC5" w:rsidP="00AB2BC5">
      <w:pPr>
        <w:pStyle w:val="Bibliography"/>
        <w:spacing w:after="240" w:line="240" w:lineRule="auto"/>
        <w:ind w:left="0" w:firstLine="0"/>
        <w:rPr>
          <w:rFonts w:ascii="Arial" w:hAnsi="Arial" w:cs="Arial"/>
        </w:rPr>
      </w:pPr>
      <w:r w:rsidRPr="00672436">
        <w:rPr>
          <w:rFonts w:ascii="Arial" w:hAnsi="Arial" w:cs="Arial"/>
        </w:rPr>
        <w:t>SCONUL Working Group on Information Literacy. 2011.</w:t>
      </w:r>
      <w:r>
        <w:rPr>
          <w:rFonts w:ascii="Arial" w:hAnsi="Arial" w:cs="Arial"/>
        </w:rPr>
        <w:t xml:space="preserve"> </w:t>
      </w:r>
      <w:hyperlink r:id="rId70" w:history="1">
        <w:r w:rsidRPr="003D3BB7">
          <w:rPr>
            <w:rStyle w:val="Hyperlink"/>
            <w:rFonts w:ascii="Arial" w:hAnsi="Arial" w:cs="Arial"/>
          </w:rPr>
          <w:t>The SCONUL seven pillars of information literacy: core model</w:t>
        </w:r>
      </w:hyperlink>
      <w:r w:rsidRPr="00672436">
        <w:rPr>
          <w:rFonts w:ascii="Arial" w:hAnsi="Arial" w:cs="Arial"/>
        </w:rPr>
        <w:t xml:space="preserve"> [Online]. </w:t>
      </w:r>
    </w:p>
    <w:p w14:paraId="1D87F965" w14:textId="5A31A0AC"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Simons, M. R., Kerin Morgan, M., &amp; Stewart Davidson, A. (2012). </w:t>
      </w:r>
      <w:hyperlink r:id="rId71" w:history="1">
        <w:r w:rsidRPr="003D3BB7">
          <w:rPr>
            <w:rStyle w:val="Hyperlink"/>
            <w:rFonts w:ascii="Arial" w:hAnsi="Arial" w:cs="Arial"/>
          </w:rPr>
          <w:t>Time to rethink the role of the library in educating doctors: Driving information literacy in the clinical environment</w:t>
        </w:r>
      </w:hyperlink>
      <w:r w:rsidRPr="00F90DE8">
        <w:rPr>
          <w:rFonts w:ascii="Arial" w:hAnsi="Arial" w:cs="Arial"/>
        </w:rPr>
        <w:t xml:space="preserve">. </w:t>
      </w:r>
      <w:r w:rsidRPr="00F90DE8">
        <w:rPr>
          <w:rFonts w:ascii="Arial" w:hAnsi="Arial" w:cs="Arial"/>
          <w:i/>
          <w:iCs/>
        </w:rPr>
        <w:t>Journal of the Medical Library Association</w:t>
      </w:r>
      <w:r w:rsidRPr="00F90DE8">
        <w:rPr>
          <w:rFonts w:ascii="Arial" w:hAnsi="Arial" w:cs="Arial"/>
        </w:rPr>
        <w:t xml:space="preserve">, </w:t>
      </w:r>
      <w:r w:rsidRPr="00F90DE8">
        <w:rPr>
          <w:rFonts w:ascii="Arial" w:hAnsi="Arial" w:cs="Arial"/>
          <w:i/>
          <w:iCs/>
        </w:rPr>
        <w:t>100</w:t>
      </w:r>
      <w:r w:rsidRPr="00F90DE8">
        <w:rPr>
          <w:rFonts w:ascii="Arial" w:hAnsi="Arial" w:cs="Arial"/>
        </w:rPr>
        <w:t xml:space="preserve">(4), 291–296. CINAHL Complete. </w:t>
      </w:r>
    </w:p>
    <w:p w14:paraId="04776851" w14:textId="3CEDC98A"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Sterz, J., Hoefer, S. H., Janko, M., Bender, B., Adili, F., Schreckenbach, T., Seifert, L. B., &amp; Ruesseler, M. (2019). </w:t>
      </w:r>
      <w:hyperlink r:id="rId72" w:history="1">
        <w:r w:rsidRPr="003D3BB7">
          <w:rPr>
            <w:rStyle w:val="Hyperlink"/>
            <w:rFonts w:ascii="Arial" w:hAnsi="Arial" w:cs="Arial"/>
          </w:rPr>
          <w:t>Do they teach what they need to? An analysis of the impact of curriculum mapping on the learning objectives taught in a lecture series in surgery</w:t>
        </w:r>
      </w:hyperlink>
      <w:r w:rsidRPr="00F90DE8">
        <w:rPr>
          <w:rFonts w:ascii="Arial" w:hAnsi="Arial" w:cs="Arial"/>
        </w:rPr>
        <w:t xml:space="preserve">. </w:t>
      </w:r>
      <w:r w:rsidRPr="00F90DE8">
        <w:rPr>
          <w:rFonts w:ascii="Arial" w:hAnsi="Arial" w:cs="Arial"/>
          <w:i/>
          <w:iCs/>
        </w:rPr>
        <w:t>Medical Teacher</w:t>
      </w:r>
      <w:r w:rsidRPr="00F90DE8">
        <w:rPr>
          <w:rFonts w:ascii="Arial" w:hAnsi="Arial" w:cs="Arial"/>
        </w:rPr>
        <w:t xml:space="preserve">, </w:t>
      </w:r>
      <w:r w:rsidRPr="00F90DE8">
        <w:rPr>
          <w:rFonts w:ascii="Arial" w:hAnsi="Arial" w:cs="Arial"/>
          <w:i/>
          <w:iCs/>
        </w:rPr>
        <w:t>41</w:t>
      </w:r>
      <w:r w:rsidRPr="00F90DE8">
        <w:rPr>
          <w:rFonts w:ascii="Arial" w:hAnsi="Arial" w:cs="Arial"/>
        </w:rPr>
        <w:t xml:space="preserve">(4), 417–421. </w:t>
      </w:r>
    </w:p>
    <w:p w14:paraId="73E9AFFB" w14:textId="095991EC"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Tagge, N. (2018). </w:t>
      </w:r>
      <w:hyperlink r:id="rId73" w:history="1">
        <w:r w:rsidRPr="003D3BB7">
          <w:rPr>
            <w:rStyle w:val="Hyperlink"/>
            <w:rFonts w:ascii="Arial" w:hAnsi="Arial" w:cs="Arial"/>
          </w:rPr>
          <w:t>Leveraging accreditation to integrate sustainable information literacy instruction into the medical school curriculum</w:t>
        </w:r>
      </w:hyperlink>
      <w:r w:rsidRPr="00F90DE8">
        <w:rPr>
          <w:rFonts w:ascii="Arial" w:hAnsi="Arial" w:cs="Arial"/>
        </w:rPr>
        <w:t xml:space="preserve">. </w:t>
      </w:r>
      <w:r w:rsidRPr="00F90DE8">
        <w:rPr>
          <w:rFonts w:ascii="Arial" w:hAnsi="Arial" w:cs="Arial"/>
          <w:i/>
          <w:iCs/>
        </w:rPr>
        <w:t>Journal of the Medical Library Association: JMLA</w:t>
      </w:r>
      <w:r w:rsidRPr="00F90DE8">
        <w:rPr>
          <w:rFonts w:ascii="Arial" w:hAnsi="Arial" w:cs="Arial"/>
        </w:rPr>
        <w:t xml:space="preserve">, </w:t>
      </w:r>
      <w:r w:rsidRPr="00F90DE8">
        <w:rPr>
          <w:rFonts w:ascii="Arial" w:hAnsi="Arial" w:cs="Arial"/>
          <w:i/>
          <w:iCs/>
        </w:rPr>
        <w:t>106</w:t>
      </w:r>
      <w:r w:rsidRPr="00F90DE8">
        <w:rPr>
          <w:rFonts w:ascii="Arial" w:hAnsi="Arial" w:cs="Arial"/>
        </w:rPr>
        <w:t xml:space="preserve">(3), 377–382. </w:t>
      </w:r>
    </w:p>
    <w:p w14:paraId="6711381A" w14:textId="4C3FB598"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Turner, J. (2016). </w:t>
      </w:r>
      <w:hyperlink r:id="rId74" w:history="1">
        <w:r w:rsidRPr="003D3BB7">
          <w:rPr>
            <w:rStyle w:val="Hyperlink"/>
            <w:rFonts w:ascii="Arial" w:hAnsi="Arial" w:cs="Arial"/>
          </w:rPr>
          <w:t>Instructional design: Skills to benefit the library profession</w:t>
        </w:r>
      </w:hyperlink>
      <w:r w:rsidRPr="00F90DE8">
        <w:rPr>
          <w:rFonts w:ascii="Arial" w:hAnsi="Arial" w:cs="Arial"/>
        </w:rPr>
        <w:t xml:space="preserve">. </w:t>
      </w:r>
      <w:r w:rsidRPr="00F90DE8">
        <w:rPr>
          <w:rFonts w:ascii="Arial" w:hAnsi="Arial" w:cs="Arial"/>
          <w:i/>
          <w:iCs/>
        </w:rPr>
        <w:t>Portal: Libraries and the Academy</w:t>
      </w:r>
      <w:r w:rsidRPr="00F90DE8">
        <w:rPr>
          <w:rFonts w:ascii="Arial" w:hAnsi="Arial" w:cs="Arial"/>
        </w:rPr>
        <w:t xml:space="preserve">, </w:t>
      </w:r>
      <w:r w:rsidRPr="00F90DE8">
        <w:rPr>
          <w:rFonts w:ascii="Arial" w:hAnsi="Arial" w:cs="Arial"/>
          <w:i/>
          <w:iCs/>
        </w:rPr>
        <w:t>16</w:t>
      </w:r>
      <w:r w:rsidRPr="00F90DE8">
        <w:rPr>
          <w:rFonts w:ascii="Arial" w:hAnsi="Arial" w:cs="Arial"/>
        </w:rPr>
        <w:t xml:space="preserve">(3), 477–489. </w:t>
      </w:r>
    </w:p>
    <w:p w14:paraId="1AA22A78" w14:textId="43265E29"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US National Institutes of Health. (2020). </w:t>
      </w:r>
      <w:hyperlink r:id="rId75" w:history="1">
        <w:r w:rsidRPr="003D3BB7">
          <w:rPr>
            <w:rStyle w:val="Hyperlink"/>
            <w:rFonts w:ascii="Arial" w:hAnsi="Arial" w:cs="Arial"/>
            <w:i/>
            <w:iCs/>
          </w:rPr>
          <w:t>NIH Policy for Data Management and Sharing</w:t>
        </w:r>
      </w:hyperlink>
      <w:r w:rsidRPr="00F90DE8">
        <w:rPr>
          <w:rFonts w:ascii="Arial" w:hAnsi="Arial" w:cs="Arial"/>
        </w:rPr>
        <w:t xml:space="preserve"> (Publication NOT-OD-21-013). </w:t>
      </w:r>
    </w:p>
    <w:p w14:paraId="5A43FC15" w14:textId="31F731D9" w:rsidR="00AB2BC5" w:rsidRPr="00F90DE8" w:rsidRDefault="00941BEE" w:rsidP="00AB2BC5">
      <w:pPr>
        <w:pStyle w:val="Bibliography"/>
        <w:spacing w:after="240" w:line="240" w:lineRule="auto"/>
        <w:ind w:left="0" w:firstLine="0"/>
        <w:rPr>
          <w:rFonts w:ascii="Arial" w:hAnsi="Arial" w:cs="Arial"/>
        </w:rPr>
      </w:pPr>
      <w:hyperlink r:id="rId76" w:history="1">
        <w:r w:rsidR="00AB2BC5" w:rsidRPr="003D3BB7">
          <w:rPr>
            <w:rStyle w:val="Hyperlink"/>
            <w:rFonts w:ascii="Arial" w:hAnsi="Arial" w:cs="Arial"/>
            <w:i/>
            <w:iCs/>
          </w:rPr>
          <w:t>USMLE Step 1 Transition to Pass/Fail Only Score Reporting | USMLE</w:t>
        </w:r>
      </w:hyperlink>
      <w:r w:rsidR="00AB2BC5" w:rsidRPr="00F90DE8">
        <w:rPr>
          <w:rFonts w:ascii="Arial" w:hAnsi="Arial" w:cs="Arial"/>
        </w:rPr>
        <w:t xml:space="preserve">. (n.d.). </w:t>
      </w:r>
    </w:p>
    <w:p w14:paraId="7D2A9E32" w14:textId="73401B55"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Wang, L. (2011). </w:t>
      </w:r>
      <w:hyperlink r:id="rId77" w:history="1">
        <w:r w:rsidRPr="003D3BB7">
          <w:rPr>
            <w:rStyle w:val="Hyperlink"/>
            <w:rFonts w:ascii="Arial" w:hAnsi="Arial" w:cs="Arial"/>
          </w:rPr>
          <w:t>An information literacy integration model and its application in higher education</w:t>
        </w:r>
      </w:hyperlink>
      <w:r w:rsidRPr="00F90DE8">
        <w:rPr>
          <w:rFonts w:ascii="Arial" w:hAnsi="Arial" w:cs="Arial"/>
        </w:rPr>
        <w:t xml:space="preserve">. </w:t>
      </w:r>
      <w:r w:rsidRPr="00F90DE8">
        <w:rPr>
          <w:rFonts w:ascii="Arial" w:hAnsi="Arial" w:cs="Arial"/>
          <w:i/>
          <w:iCs/>
        </w:rPr>
        <w:t>Reference Services Review</w:t>
      </w:r>
      <w:r w:rsidRPr="00F90DE8">
        <w:rPr>
          <w:rFonts w:ascii="Arial" w:hAnsi="Arial" w:cs="Arial"/>
        </w:rPr>
        <w:t xml:space="preserve">, </w:t>
      </w:r>
      <w:r w:rsidRPr="00F90DE8">
        <w:rPr>
          <w:rFonts w:ascii="Arial" w:hAnsi="Arial" w:cs="Arial"/>
          <w:i/>
          <w:iCs/>
        </w:rPr>
        <w:t>39</w:t>
      </w:r>
      <w:r w:rsidRPr="00F90DE8">
        <w:rPr>
          <w:rFonts w:ascii="Arial" w:hAnsi="Arial" w:cs="Arial"/>
        </w:rPr>
        <w:t xml:space="preserve">(4), 703–720. </w:t>
      </w:r>
    </w:p>
    <w:p w14:paraId="6703EBEF" w14:textId="7D659359" w:rsidR="00AB2BC5"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Williams, A. A., &amp; Ntiri, S. O. (2018). </w:t>
      </w:r>
      <w:hyperlink r:id="rId78" w:history="1">
        <w:r w:rsidRPr="003D3BB7">
          <w:rPr>
            <w:rStyle w:val="Hyperlink"/>
            <w:rFonts w:ascii="Arial" w:hAnsi="Arial" w:cs="Arial"/>
          </w:rPr>
          <w:t>An online, self-directed curriculum of core research concepts and skills</w:t>
        </w:r>
      </w:hyperlink>
      <w:r w:rsidRPr="00F90DE8">
        <w:rPr>
          <w:rFonts w:ascii="Arial" w:hAnsi="Arial" w:cs="Arial"/>
        </w:rPr>
        <w:t xml:space="preserve">. </w:t>
      </w:r>
      <w:r w:rsidRPr="00F90DE8">
        <w:rPr>
          <w:rFonts w:ascii="Arial" w:hAnsi="Arial" w:cs="Arial"/>
          <w:i/>
          <w:iCs/>
        </w:rPr>
        <w:t>MedEdPORTAL: The Journal of Teaching and Learning Resources</w:t>
      </w:r>
      <w:r w:rsidRPr="00F90DE8">
        <w:rPr>
          <w:rFonts w:ascii="Arial" w:hAnsi="Arial" w:cs="Arial"/>
        </w:rPr>
        <w:t xml:space="preserve">, </w:t>
      </w:r>
      <w:r w:rsidRPr="00F90DE8">
        <w:rPr>
          <w:rFonts w:ascii="Arial" w:hAnsi="Arial" w:cs="Arial"/>
          <w:i/>
          <w:iCs/>
        </w:rPr>
        <w:t>14</w:t>
      </w:r>
      <w:r w:rsidRPr="00F90DE8">
        <w:rPr>
          <w:rFonts w:ascii="Arial" w:hAnsi="Arial" w:cs="Arial"/>
        </w:rPr>
        <w:t xml:space="preserve">, 10732. </w:t>
      </w:r>
    </w:p>
    <w:p w14:paraId="54BCE3D5" w14:textId="711A1D92" w:rsidR="003D3BB7" w:rsidRDefault="00AB2BC5" w:rsidP="00AB2BC5">
      <w:r w:rsidRPr="00666651">
        <w:t>Willison, J</w:t>
      </w:r>
      <w:r>
        <w:t>,</w:t>
      </w:r>
      <w:r w:rsidRPr="00666651">
        <w:t xml:space="preserve"> O'Regan, K</w:t>
      </w:r>
      <w:r>
        <w:t>,</w:t>
      </w:r>
      <w:r w:rsidRPr="00666651">
        <w:t xml:space="preserve"> </w:t>
      </w:r>
      <w:r>
        <w:t>&amp;</w:t>
      </w:r>
      <w:r w:rsidRPr="00666651">
        <w:t xml:space="preserve"> Kuhn, S</w:t>
      </w:r>
      <w:r>
        <w:t>.</w:t>
      </w:r>
      <w:r w:rsidRPr="00666651">
        <w:t xml:space="preserve"> K.</w:t>
      </w:r>
      <w:r>
        <w:t xml:space="preserve"> (2018).</w:t>
      </w:r>
      <w:r w:rsidRPr="00666651">
        <w:t xml:space="preserve"> </w:t>
      </w:r>
      <w:hyperlink r:id="rId79" w:history="1">
        <w:r w:rsidRPr="003D3BB7">
          <w:rPr>
            <w:rStyle w:val="Hyperlink"/>
          </w:rPr>
          <w:t>Researcher Skill Development Framework (US English Edition)</w:t>
        </w:r>
      </w:hyperlink>
      <w:r w:rsidRPr="00666651">
        <w:t>. Open Educational Resources.</w:t>
      </w:r>
      <w:r>
        <w:t xml:space="preserve"> </w:t>
      </w:r>
    </w:p>
    <w:p w14:paraId="5F600F33" w14:textId="77777777" w:rsidR="00313CE4" w:rsidRPr="00FB4259" w:rsidRDefault="00313CE4" w:rsidP="00AB2BC5"/>
    <w:p w14:paraId="516607A2" w14:textId="11ED6154" w:rsidR="00AB2BC5" w:rsidRPr="00F90DE8" w:rsidRDefault="00AB2BC5" w:rsidP="00AB2BC5">
      <w:pPr>
        <w:pStyle w:val="Bibliography"/>
        <w:spacing w:after="240" w:line="240" w:lineRule="auto"/>
        <w:ind w:left="0" w:firstLine="0"/>
        <w:rPr>
          <w:rFonts w:ascii="Arial" w:hAnsi="Arial" w:cs="Arial"/>
        </w:rPr>
      </w:pPr>
      <w:r w:rsidRPr="00F90DE8">
        <w:rPr>
          <w:rFonts w:ascii="Arial" w:hAnsi="Arial" w:cs="Arial"/>
        </w:rPr>
        <w:t xml:space="preserve">Wissinger, C. L., Raish, V., Miller, R. K., &amp; Borrelli, S. (2018). </w:t>
      </w:r>
      <w:hyperlink r:id="rId80" w:history="1">
        <w:r w:rsidRPr="003D3BB7">
          <w:rPr>
            <w:rStyle w:val="Hyperlink"/>
            <w:rFonts w:ascii="Arial" w:hAnsi="Arial" w:cs="Arial"/>
          </w:rPr>
          <w:t>Expert teams in the academic library: Going beyond subject expertise to create scaffolded instruction</w:t>
        </w:r>
      </w:hyperlink>
      <w:r w:rsidRPr="00F90DE8">
        <w:rPr>
          <w:rFonts w:ascii="Arial" w:hAnsi="Arial" w:cs="Arial"/>
        </w:rPr>
        <w:t xml:space="preserve">. </w:t>
      </w:r>
      <w:r w:rsidRPr="00F90DE8">
        <w:rPr>
          <w:rFonts w:ascii="Arial" w:hAnsi="Arial" w:cs="Arial"/>
          <w:i/>
          <w:iCs/>
        </w:rPr>
        <w:t>Journal of Library Administration</w:t>
      </w:r>
      <w:r w:rsidRPr="00F90DE8">
        <w:rPr>
          <w:rFonts w:ascii="Arial" w:hAnsi="Arial" w:cs="Arial"/>
        </w:rPr>
        <w:t xml:space="preserve">, </w:t>
      </w:r>
      <w:r w:rsidRPr="00F90DE8">
        <w:rPr>
          <w:rFonts w:ascii="Arial" w:hAnsi="Arial" w:cs="Arial"/>
          <w:i/>
          <w:iCs/>
        </w:rPr>
        <w:t>58</w:t>
      </w:r>
      <w:r w:rsidRPr="00F90DE8">
        <w:rPr>
          <w:rFonts w:ascii="Arial" w:hAnsi="Arial" w:cs="Arial"/>
        </w:rPr>
        <w:t xml:space="preserve">(4), 313–333. </w:t>
      </w:r>
    </w:p>
    <w:p w14:paraId="523FC5EA" w14:textId="77777777" w:rsidR="00AB2BC5" w:rsidRPr="00F90DE8" w:rsidRDefault="00AB2BC5" w:rsidP="00AB2BC5">
      <w:pPr>
        <w:spacing w:after="240" w:line="240" w:lineRule="auto"/>
      </w:pPr>
      <w:r w:rsidRPr="00F90DE8">
        <w:br w:type="page"/>
      </w:r>
    </w:p>
    <w:p w14:paraId="739889B5" w14:textId="5F6871AC" w:rsidR="00AB2BC5" w:rsidRDefault="00AB2BC5" w:rsidP="00AB2BC5">
      <w:pPr>
        <w:rPr>
          <w:b/>
          <w:bCs/>
        </w:rPr>
      </w:pPr>
      <w:r w:rsidRPr="00F90DE8">
        <w:rPr>
          <w:b/>
          <w:bCs/>
        </w:rPr>
        <w:lastRenderedPageBreak/>
        <w:t xml:space="preserve">Appendix A: Search Strategies </w:t>
      </w:r>
    </w:p>
    <w:p w14:paraId="44DDC0E1" w14:textId="77777777" w:rsidR="00AB2BC5" w:rsidRPr="00F90DE8" w:rsidRDefault="00AB2BC5" w:rsidP="00AB2BC5"/>
    <w:tbl>
      <w:tblPr>
        <w:tblStyle w:val="TableGrid"/>
        <w:tblW w:w="0" w:type="auto"/>
        <w:tblLook w:val="04A0" w:firstRow="1" w:lastRow="0" w:firstColumn="1" w:lastColumn="0" w:noHBand="0" w:noVBand="1"/>
      </w:tblPr>
      <w:tblGrid>
        <w:gridCol w:w="1161"/>
        <w:gridCol w:w="8177"/>
      </w:tblGrid>
      <w:tr w:rsidR="00AB2BC5" w:rsidRPr="00F90DE8" w14:paraId="5AED0438" w14:textId="77777777" w:rsidTr="00947143">
        <w:tc>
          <w:tcPr>
            <w:tcW w:w="1161" w:type="dxa"/>
          </w:tcPr>
          <w:p w14:paraId="3DE7CD94" w14:textId="77777777" w:rsidR="00AB2BC5" w:rsidRPr="00F90DE8" w:rsidRDefault="00AB2BC5" w:rsidP="00947143">
            <w:pPr>
              <w:rPr>
                <w:rFonts w:ascii="Arial" w:hAnsi="Arial" w:cs="Arial"/>
                <w:b/>
                <w:bCs/>
                <w:sz w:val="20"/>
                <w:szCs w:val="20"/>
              </w:rPr>
            </w:pPr>
            <w:r w:rsidRPr="00F90DE8">
              <w:rPr>
                <w:rFonts w:ascii="Arial" w:hAnsi="Arial" w:cs="Arial"/>
                <w:b/>
                <w:bCs/>
                <w:sz w:val="20"/>
                <w:szCs w:val="20"/>
              </w:rPr>
              <w:t>Academic Search Premier</w:t>
            </w:r>
          </w:p>
        </w:tc>
        <w:tc>
          <w:tcPr>
            <w:tcW w:w="8189" w:type="dxa"/>
          </w:tcPr>
          <w:p w14:paraId="00C6851B" w14:textId="77777777" w:rsidR="00AB2BC5" w:rsidRPr="00F90DE8" w:rsidRDefault="00AB2BC5" w:rsidP="00947143">
            <w:pPr>
              <w:rPr>
                <w:rFonts w:ascii="Arial" w:hAnsi="Arial" w:cs="Arial"/>
                <w:sz w:val="20"/>
                <w:szCs w:val="20"/>
              </w:rPr>
            </w:pPr>
            <w:r w:rsidRPr="00F90DE8">
              <w:rPr>
                <w:rFonts w:ascii="Arial" w:hAnsi="Arial" w:cs="Arial"/>
                <w:sz w:val="20"/>
                <w:szCs w:val="20"/>
              </w:rPr>
              <w:t>(program OR curricul* OR "course objectives" OR standards OR "concept map" OR "model" OR structur* OR framework OR schema OR epistemology OR "competency based education") AND ("information literacy" OR "critical thinking" OR "metacognition" OR "research skills") AND (librar* OR "information centre" OR "information center") AND ("health sciences" OR "allied health" OR nursing OR medic* OR "occupational therapy" OR "physical therapy" OR medical laboratory science" OR "public health" OR "physician assistant" OR biomedic*) AND (education OR graduate OR college OR university OR academ* OR "Medical Schools")</w:t>
            </w:r>
          </w:p>
        </w:tc>
      </w:tr>
      <w:tr w:rsidR="00AB2BC5" w:rsidRPr="00F90DE8" w14:paraId="186BF099" w14:textId="77777777" w:rsidTr="00947143">
        <w:tc>
          <w:tcPr>
            <w:tcW w:w="1161" w:type="dxa"/>
          </w:tcPr>
          <w:p w14:paraId="51C7C703" w14:textId="77777777" w:rsidR="00AB2BC5" w:rsidRPr="00F90DE8" w:rsidRDefault="00AB2BC5" w:rsidP="00947143">
            <w:pPr>
              <w:rPr>
                <w:rFonts w:ascii="Arial" w:hAnsi="Arial" w:cs="Arial"/>
                <w:b/>
                <w:bCs/>
                <w:sz w:val="20"/>
                <w:szCs w:val="20"/>
              </w:rPr>
            </w:pPr>
            <w:r w:rsidRPr="00F90DE8">
              <w:rPr>
                <w:rFonts w:ascii="Arial" w:hAnsi="Arial" w:cs="Arial"/>
                <w:b/>
                <w:bCs/>
                <w:sz w:val="20"/>
                <w:szCs w:val="20"/>
              </w:rPr>
              <w:t>CINAHL</w:t>
            </w:r>
          </w:p>
        </w:tc>
        <w:tc>
          <w:tcPr>
            <w:tcW w:w="8189" w:type="dxa"/>
          </w:tcPr>
          <w:p w14:paraId="782AAE41" w14:textId="77777777" w:rsidR="00AB2BC5" w:rsidRPr="00F90DE8" w:rsidRDefault="00AB2BC5" w:rsidP="00947143">
            <w:pPr>
              <w:rPr>
                <w:rFonts w:ascii="Arial" w:hAnsi="Arial" w:cs="Arial"/>
                <w:sz w:val="20"/>
                <w:szCs w:val="20"/>
              </w:rPr>
            </w:pPr>
            <w:r w:rsidRPr="00F90DE8">
              <w:rPr>
                <w:rFonts w:ascii="Arial" w:hAnsi="Arial" w:cs="Arial"/>
                <w:sz w:val="20"/>
                <w:szCs w:val="20"/>
              </w:rPr>
              <w:t>(program OR learn* OR info* OR curricul* OR structur* OR framework OR schema OR epistemology) AND ("information literacy" OR "critical thinking" OR "outcomes of education" OR "access to information" OR "research skills") AND librar* AND ("health sciences" OR "health education" OR "libraries, health sciences" OR "education, health sciences" OR "education, medical" OR "allied health" OR nursing OR medic* ) AND (education OR graduate OR college OR university OR academ*)</w:t>
            </w:r>
          </w:p>
        </w:tc>
      </w:tr>
      <w:tr w:rsidR="00AB2BC5" w:rsidRPr="00F90DE8" w14:paraId="5A35CE1D" w14:textId="77777777" w:rsidTr="00947143">
        <w:tc>
          <w:tcPr>
            <w:tcW w:w="1161" w:type="dxa"/>
          </w:tcPr>
          <w:p w14:paraId="7FF9D028" w14:textId="77777777" w:rsidR="00AB2BC5" w:rsidRPr="00F90DE8" w:rsidRDefault="00AB2BC5" w:rsidP="00947143">
            <w:pPr>
              <w:rPr>
                <w:rFonts w:ascii="Arial" w:hAnsi="Arial" w:cs="Arial"/>
                <w:b/>
                <w:bCs/>
                <w:sz w:val="20"/>
                <w:szCs w:val="20"/>
              </w:rPr>
            </w:pPr>
            <w:r w:rsidRPr="00F90DE8">
              <w:rPr>
                <w:rFonts w:ascii="Arial" w:hAnsi="Arial" w:cs="Arial"/>
                <w:b/>
                <w:bCs/>
                <w:sz w:val="20"/>
                <w:szCs w:val="20"/>
              </w:rPr>
              <w:t>ERIC</w:t>
            </w:r>
          </w:p>
        </w:tc>
        <w:tc>
          <w:tcPr>
            <w:tcW w:w="8189" w:type="dxa"/>
          </w:tcPr>
          <w:p w14:paraId="2DB37FAD" w14:textId="77777777" w:rsidR="00AB2BC5" w:rsidRPr="00F90DE8" w:rsidRDefault="00AB2BC5" w:rsidP="00947143">
            <w:pPr>
              <w:rPr>
                <w:rFonts w:ascii="Arial" w:hAnsi="Arial" w:cs="Arial"/>
                <w:sz w:val="20"/>
                <w:szCs w:val="20"/>
              </w:rPr>
            </w:pPr>
            <w:r w:rsidRPr="00F90DE8">
              <w:rPr>
                <w:rFonts w:ascii="Arial" w:hAnsi="Arial" w:cs="Arial"/>
                <w:sz w:val="20"/>
                <w:szCs w:val="20"/>
              </w:rPr>
              <w:t>(program OR curricul* OR (DE "Curriculum Development") OR "course objectives" OR "learning objectives" OR (DE "Behavioral Objectives") OR standards OR "concept map" OR "model" OR structur* OR framework OR schema OR (DE "Program Development") OR epistemology OR competenc*) AND ("information literacy" OR (DE "Information Literacy") OR "critical thinking" OR "metacognition" OR "research skills") AND (librar* OR "information centre" OR "information center") AND ("health sciences" OR (DE "Health Sciences") OR "allied health" OR nursing OR medic* OR (DE "Medicine") OR "occupational therapy" OR "physical therapy" OR medical laboratory science" OR "public health" OR "physician assistant" OR biomedic*) AND (graduate OR college OR university OR academ* OR "Medical School*" OR (DE "Medical Schools") OR student)</w:t>
            </w:r>
          </w:p>
        </w:tc>
      </w:tr>
      <w:tr w:rsidR="00AB2BC5" w:rsidRPr="00F90DE8" w14:paraId="5629016B" w14:textId="77777777" w:rsidTr="00947143">
        <w:tc>
          <w:tcPr>
            <w:tcW w:w="1161" w:type="dxa"/>
          </w:tcPr>
          <w:p w14:paraId="5D310633" w14:textId="77777777" w:rsidR="00AB2BC5" w:rsidRPr="00F90DE8" w:rsidRDefault="00AB2BC5" w:rsidP="00947143">
            <w:pPr>
              <w:rPr>
                <w:rFonts w:ascii="Arial" w:hAnsi="Arial" w:cs="Arial"/>
                <w:b/>
                <w:bCs/>
                <w:sz w:val="20"/>
                <w:szCs w:val="20"/>
              </w:rPr>
            </w:pPr>
            <w:r w:rsidRPr="00F90DE8">
              <w:rPr>
                <w:rFonts w:ascii="Arial" w:hAnsi="Arial" w:cs="Arial"/>
                <w:b/>
                <w:bCs/>
                <w:sz w:val="20"/>
                <w:szCs w:val="20"/>
              </w:rPr>
              <w:t>Embase</w:t>
            </w:r>
          </w:p>
        </w:tc>
        <w:tc>
          <w:tcPr>
            <w:tcW w:w="8189" w:type="dxa"/>
          </w:tcPr>
          <w:p w14:paraId="3CC7C04C" w14:textId="77777777" w:rsidR="00AB2BC5" w:rsidRPr="00F90DE8" w:rsidRDefault="00AB2BC5" w:rsidP="00947143">
            <w:pPr>
              <w:rPr>
                <w:rFonts w:ascii="Arial" w:hAnsi="Arial" w:cs="Arial"/>
                <w:sz w:val="20"/>
                <w:szCs w:val="20"/>
              </w:rPr>
            </w:pPr>
            <w:r w:rsidRPr="00F90DE8">
              <w:rPr>
                <w:rFonts w:ascii="Arial" w:hAnsi="Arial" w:cs="Arial"/>
                <w:sz w:val="20"/>
                <w:szCs w:val="20"/>
              </w:rPr>
              <w:t>('library'/exp OR librar*) AND ('medical school'/exp OR 'health education'/exp or 'education'/exp) AND ('curriculum development'/exp OR 'curriculum'/exp OR 'education program'/exp OR 'educational model'/exp OR 'educational theory'/exp) AND ('information literacy'/exp OR "research skills") AND ("health sciences" OR "allied health" OR nursing OR medic* OR "occupational therapy" OR "physical therapy" OR "medical laboratory science" OR "public health" OR "physician assistant" OR biomedic* OR "Medical School Faculty")</w:t>
            </w:r>
          </w:p>
        </w:tc>
      </w:tr>
      <w:tr w:rsidR="00AB2BC5" w:rsidRPr="00F90DE8" w14:paraId="0391A1BF" w14:textId="77777777" w:rsidTr="00947143">
        <w:tc>
          <w:tcPr>
            <w:tcW w:w="1161" w:type="dxa"/>
          </w:tcPr>
          <w:p w14:paraId="7E284F97" w14:textId="77777777" w:rsidR="00AB2BC5" w:rsidRPr="00F90DE8" w:rsidRDefault="00AB2BC5" w:rsidP="00947143">
            <w:pPr>
              <w:rPr>
                <w:rFonts w:ascii="Arial" w:hAnsi="Arial" w:cs="Arial"/>
                <w:b/>
                <w:bCs/>
                <w:sz w:val="20"/>
                <w:szCs w:val="20"/>
              </w:rPr>
            </w:pPr>
            <w:r w:rsidRPr="00F90DE8">
              <w:rPr>
                <w:rFonts w:ascii="Arial" w:hAnsi="Arial" w:cs="Arial"/>
                <w:b/>
                <w:bCs/>
                <w:sz w:val="20"/>
                <w:szCs w:val="20"/>
              </w:rPr>
              <w:t>LISTA</w:t>
            </w:r>
          </w:p>
        </w:tc>
        <w:tc>
          <w:tcPr>
            <w:tcW w:w="8189" w:type="dxa"/>
          </w:tcPr>
          <w:p w14:paraId="6B825F5F" w14:textId="77777777" w:rsidR="00AB2BC5" w:rsidRPr="00F90DE8" w:rsidRDefault="00AB2BC5" w:rsidP="00947143">
            <w:pPr>
              <w:rPr>
                <w:rFonts w:ascii="Arial" w:hAnsi="Arial" w:cs="Arial"/>
                <w:sz w:val="20"/>
                <w:szCs w:val="20"/>
              </w:rPr>
            </w:pPr>
            <w:r w:rsidRPr="00F90DE8">
              <w:rPr>
                <w:rFonts w:ascii="Arial" w:hAnsi="Arial" w:cs="Arial"/>
                <w:sz w:val="20"/>
                <w:szCs w:val="20"/>
              </w:rPr>
              <w:t>(program OR curricul* OR "course objectives" OR "learning objectives" OR standards OR "concept map" OR "model" OR structur* OR framework OR schema OR epistemology OR competenc*) AND ("information literacy" OR (DE "INFORMATION literacy"health) OR "critical thinking" OR "metacognition" OR "research skills") AND (librar* OR "information centre" OR "information center") AND ("health sciences" OR "allied health" OR nursing OR medic* OR "occupational therapy" OR "physical therapy" OR medical laboratory science" OR "public health" OR "physician assistant" OR biomedic*) AND (graduate OR college OR university OR academ* OR "Medical School*" OR (DE "MEDICAL school information services") OR student OR (DE "MEDICAL librarianship"))</w:t>
            </w:r>
          </w:p>
        </w:tc>
      </w:tr>
    </w:tbl>
    <w:p w14:paraId="04F6D4F6" w14:textId="77777777" w:rsidR="00AB2BC5" w:rsidRPr="00F90DE8" w:rsidRDefault="00AB2BC5" w:rsidP="00AB2BC5"/>
    <w:p w14:paraId="64C1D461" w14:textId="77777777" w:rsidR="007574FE" w:rsidRDefault="007574FE" w:rsidP="007574FE">
      <w:pPr>
        <w:rPr>
          <w:b/>
          <w:bCs/>
        </w:rPr>
      </w:pPr>
    </w:p>
    <w:p w14:paraId="216092E6" w14:textId="11437A91" w:rsidR="007574FE" w:rsidRDefault="007574FE" w:rsidP="007574FE">
      <w:pPr>
        <w:rPr>
          <w:b/>
          <w:bCs/>
        </w:rPr>
      </w:pPr>
      <w:r w:rsidRPr="004C724B">
        <w:rPr>
          <w:b/>
          <w:bCs/>
        </w:rPr>
        <w:t>Appendix B: Extraction Instrument</w:t>
      </w:r>
    </w:p>
    <w:p w14:paraId="0D1F3022" w14:textId="77777777" w:rsidR="007574FE" w:rsidRPr="004C724B" w:rsidRDefault="007574FE" w:rsidP="007574FE">
      <w:pPr>
        <w:rPr>
          <w:b/>
          <w:bCs/>
        </w:rPr>
      </w:pPr>
    </w:p>
    <w:tbl>
      <w:tblPr>
        <w:tblStyle w:val="TableGrid1"/>
        <w:tblW w:w="0" w:type="auto"/>
        <w:tblLook w:val="04A0" w:firstRow="1" w:lastRow="0" w:firstColumn="1" w:lastColumn="0" w:noHBand="0" w:noVBand="1"/>
      </w:tblPr>
      <w:tblGrid>
        <w:gridCol w:w="1940"/>
        <w:gridCol w:w="2576"/>
        <w:gridCol w:w="3026"/>
        <w:gridCol w:w="1796"/>
      </w:tblGrid>
      <w:tr w:rsidR="007574FE" w:rsidRPr="008206DD" w14:paraId="3C7D688A" w14:textId="77777777" w:rsidTr="00221076">
        <w:tc>
          <w:tcPr>
            <w:tcW w:w="1940" w:type="dxa"/>
          </w:tcPr>
          <w:p w14:paraId="10F03449" w14:textId="77777777" w:rsidR="007574FE" w:rsidRPr="008206DD" w:rsidRDefault="007574FE" w:rsidP="00221076">
            <w:pPr>
              <w:rPr>
                <w:rFonts w:ascii="Arial" w:eastAsia="Calibri" w:hAnsi="Arial" w:cs="Arial"/>
                <w:b/>
                <w:bCs/>
                <w:sz w:val="20"/>
                <w:szCs w:val="20"/>
              </w:rPr>
            </w:pPr>
            <w:r w:rsidRPr="008206DD">
              <w:rPr>
                <w:rFonts w:ascii="Arial" w:eastAsia="Calibri" w:hAnsi="Arial" w:cs="Arial"/>
                <w:b/>
                <w:bCs/>
                <w:sz w:val="20"/>
                <w:szCs w:val="20"/>
              </w:rPr>
              <w:t>code category</w:t>
            </w:r>
          </w:p>
        </w:tc>
        <w:tc>
          <w:tcPr>
            <w:tcW w:w="2581" w:type="dxa"/>
          </w:tcPr>
          <w:p w14:paraId="6A1286DE" w14:textId="77777777" w:rsidR="007574FE" w:rsidRPr="008206DD" w:rsidRDefault="007574FE" w:rsidP="00221076">
            <w:pPr>
              <w:rPr>
                <w:rFonts w:ascii="Arial" w:eastAsia="Calibri" w:hAnsi="Arial" w:cs="Arial"/>
                <w:b/>
                <w:bCs/>
                <w:sz w:val="20"/>
                <w:szCs w:val="20"/>
              </w:rPr>
            </w:pPr>
            <w:r w:rsidRPr="008206DD">
              <w:rPr>
                <w:rFonts w:ascii="Arial" w:eastAsia="Calibri" w:hAnsi="Arial" w:cs="Arial"/>
                <w:b/>
                <w:bCs/>
                <w:sz w:val="20"/>
                <w:szCs w:val="20"/>
              </w:rPr>
              <w:t>coding type</w:t>
            </w:r>
          </w:p>
        </w:tc>
        <w:tc>
          <w:tcPr>
            <w:tcW w:w="3030" w:type="dxa"/>
          </w:tcPr>
          <w:p w14:paraId="63CCF53F" w14:textId="77777777" w:rsidR="007574FE" w:rsidRPr="008206DD" w:rsidRDefault="007574FE" w:rsidP="00221076">
            <w:pPr>
              <w:rPr>
                <w:rFonts w:ascii="Arial" w:eastAsia="Calibri" w:hAnsi="Arial" w:cs="Arial"/>
                <w:b/>
                <w:bCs/>
                <w:sz w:val="20"/>
                <w:szCs w:val="20"/>
              </w:rPr>
            </w:pPr>
            <w:r w:rsidRPr="008206DD">
              <w:rPr>
                <w:rFonts w:ascii="Arial" w:eastAsia="Calibri" w:hAnsi="Arial" w:cs="Arial"/>
                <w:b/>
                <w:bCs/>
                <w:sz w:val="20"/>
                <w:szCs w:val="20"/>
              </w:rPr>
              <w:t>code</w:t>
            </w:r>
          </w:p>
        </w:tc>
        <w:tc>
          <w:tcPr>
            <w:tcW w:w="1799" w:type="dxa"/>
          </w:tcPr>
          <w:p w14:paraId="48E962BA" w14:textId="77777777" w:rsidR="007574FE" w:rsidRPr="008206DD" w:rsidRDefault="007574FE" w:rsidP="00221076">
            <w:pPr>
              <w:rPr>
                <w:rFonts w:ascii="Arial" w:eastAsia="Calibri" w:hAnsi="Arial" w:cs="Arial"/>
                <w:b/>
                <w:bCs/>
                <w:sz w:val="20"/>
                <w:szCs w:val="20"/>
              </w:rPr>
            </w:pPr>
            <w:r w:rsidRPr="008206DD">
              <w:rPr>
                <w:rFonts w:ascii="Arial" w:eastAsia="Calibri" w:hAnsi="Arial" w:cs="Arial"/>
                <w:b/>
                <w:bCs/>
                <w:sz w:val="20"/>
                <w:szCs w:val="20"/>
              </w:rPr>
              <w:t>count</w:t>
            </w:r>
          </w:p>
        </w:tc>
      </w:tr>
      <w:tr w:rsidR="007574FE" w:rsidRPr="008206DD" w14:paraId="01A6FCD5" w14:textId="77777777" w:rsidTr="00221076">
        <w:tc>
          <w:tcPr>
            <w:tcW w:w="1940" w:type="dxa"/>
            <w:vMerge w:val="restart"/>
            <w:shd w:val="clear" w:color="auto" w:fill="F2F2F2"/>
          </w:tcPr>
          <w:p w14:paraId="32205059"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researcher status</w:t>
            </w:r>
          </w:p>
        </w:tc>
        <w:tc>
          <w:tcPr>
            <w:tcW w:w="2581" w:type="dxa"/>
            <w:vMerge w:val="restart"/>
            <w:shd w:val="clear" w:color="auto" w:fill="F2F2F2"/>
          </w:tcPr>
          <w:p w14:paraId="1CB7347C"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each article can be coded multiple times</w:t>
            </w:r>
          </w:p>
        </w:tc>
        <w:tc>
          <w:tcPr>
            <w:tcW w:w="3030" w:type="dxa"/>
            <w:shd w:val="clear" w:color="auto" w:fill="F2F2F2"/>
          </w:tcPr>
          <w:p w14:paraId="3B653DD5"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librarian</w:t>
            </w:r>
          </w:p>
        </w:tc>
        <w:tc>
          <w:tcPr>
            <w:tcW w:w="1799" w:type="dxa"/>
            <w:shd w:val="clear" w:color="auto" w:fill="F2F2F2"/>
            <w:vAlign w:val="bottom"/>
          </w:tcPr>
          <w:p w14:paraId="3601E47A"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109</w:t>
            </w:r>
          </w:p>
        </w:tc>
      </w:tr>
      <w:tr w:rsidR="007574FE" w:rsidRPr="008206DD" w14:paraId="3C7AEACC" w14:textId="77777777" w:rsidTr="00221076">
        <w:tc>
          <w:tcPr>
            <w:tcW w:w="1940" w:type="dxa"/>
            <w:vMerge/>
            <w:shd w:val="clear" w:color="auto" w:fill="F2F2F2"/>
          </w:tcPr>
          <w:p w14:paraId="7E3E290E"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31B9E856" w14:textId="77777777" w:rsidR="007574FE" w:rsidRPr="008206DD" w:rsidRDefault="007574FE" w:rsidP="00221076">
            <w:pPr>
              <w:rPr>
                <w:rFonts w:ascii="Arial" w:eastAsia="Calibri" w:hAnsi="Arial" w:cs="Arial"/>
                <w:sz w:val="20"/>
                <w:szCs w:val="20"/>
              </w:rPr>
            </w:pPr>
          </w:p>
        </w:tc>
        <w:tc>
          <w:tcPr>
            <w:tcW w:w="3030" w:type="dxa"/>
            <w:shd w:val="clear" w:color="auto" w:fill="F2F2F2"/>
          </w:tcPr>
          <w:p w14:paraId="4412FFFC"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faculty</w:t>
            </w:r>
          </w:p>
        </w:tc>
        <w:tc>
          <w:tcPr>
            <w:tcW w:w="1799" w:type="dxa"/>
            <w:shd w:val="clear" w:color="auto" w:fill="F2F2F2"/>
            <w:vAlign w:val="bottom"/>
          </w:tcPr>
          <w:p w14:paraId="27F35119"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49</w:t>
            </w:r>
          </w:p>
        </w:tc>
      </w:tr>
      <w:tr w:rsidR="007574FE" w:rsidRPr="008206DD" w14:paraId="4567245C" w14:textId="77777777" w:rsidTr="00221076">
        <w:tc>
          <w:tcPr>
            <w:tcW w:w="1940" w:type="dxa"/>
            <w:vMerge/>
            <w:shd w:val="clear" w:color="auto" w:fill="F2F2F2"/>
          </w:tcPr>
          <w:p w14:paraId="528E6F39"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3D4DB2C0" w14:textId="77777777" w:rsidR="007574FE" w:rsidRPr="008206DD" w:rsidRDefault="007574FE" w:rsidP="00221076">
            <w:pPr>
              <w:rPr>
                <w:rFonts w:ascii="Arial" w:eastAsia="Calibri" w:hAnsi="Arial" w:cs="Arial"/>
                <w:sz w:val="20"/>
                <w:szCs w:val="20"/>
              </w:rPr>
            </w:pPr>
          </w:p>
        </w:tc>
        <w:tc>
          <w:tcPr>
            <w:tcW w:w="3030" w:type="dxa"/>
            <w:shd w:val="clear" w:color="auto" w:fill="F2F2F2"/>
          </w:tcPr>
          <w:p w14:paraId="68CF4FCE"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tenured faculty</w:t>
            </w:r>
          </w:p>
        </w:tc>
        <w:tc>
          <w:tcPr>
            <w:tcW w:w="1799" w:type="dxa"/>
            <w:shd w:val="clear" w:color="auto" w:fill="F2F2F2"/>
            <w:vAlign w:val="bottom"/>
          </w:tcPr>
          <w:p w14:paraId="74358CCA"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1</w:t>
            </w:r>
          </w:p>
        </w:tc>
      </w:tr>
      <w:tr w:rsidR="007574FE" w:rsidRPr="008206DD" w14:paraId="3B3BE069" w14:textId="77777777" w:rsidTr="00221076">
        <w:tc>
          <w:tcPr>
            <w:tcW w:w="1940" w:type="dxa"/>
            <w:vMerge/>
            <w:shd w:val="clear" w:color="auto" w:fill="F2F2F2"/>
          </w:tcPr>
          <w:p w14:paraId="20EAA462"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64B0F79A" w14:textId="77777777" w:rsidR="007574FE" w:rsidRPr="008206DD" w:rsidRDefault="007574FE" w:rsidP="00221076">
            <w:pPr>
              <w:rPr>
                <w:rFonts w:ascii="Arial" w:eastAsia="Calibri" w:hAnsi="Arial" w:cs="Arial"/>
                <w:sz w:val="20"/>
                <w:szCs w:val="20"/>
              </w:rPr>
            </w:pPr>
          </w:p>
        </w:tc>
        <w:tc>
          <w:tcPr>
            <w:tcW w:w="3030" w:type="dxa"/>
            <w:shd w:val="clear" w:color="auto" w:fill="F2F2F2"/>
          </w:tcPr>
          <w:p w14:paraId="7417AB08"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not mentioned</w:t>
            </w:r>
          </w:p>
        </w:tc>
        <w:tc>
          <w:tcPr>
            <w:tcW w:w="1799" w:type="dxa"/>
            <w:shd w:val="clear" w:color="auto" w:fill="F2F2F2"/>
            <w:vAlign w:val="bottom"/>
          </w:tcPr>
          <w:p w14:paraId="4B0934D0"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12</w:t>
            </w:r>
          </w:p>
        </w:tc>
      </w:tr>
      <w:tr w:rsidR="007574FE" w:rsidRPr="008206DD" w14:paraId="11BF6D06" w14:textId="77777777" w:rsidTr="00221076">
        <w:tc>
          <w:tcPr>
            <w:tcW w:w="1940" w:type="dxa"/>
            <w:vMerge/>
            <w:shd w:val="clear" w:color="auto" w:fill="F2F2F2"/>
          </w:tcPr>
          <w:p w14:paraId="031CF59D"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090736DE" w14:textId="77777777" w:rsidR="007574FE" w:rsidRPr="008206DD" w:rsidRDefault="007574FE" w:rsidP="00221076">
            <w:pPr>
              <w:rPr>
                <w:rFonts w:ascii="Arial" w:eastAsia="Calibri" w:hAnsi="Arial" w:cs="Arial"/>
                <w:sz w:val="20"/>
                <w:szCs w:val="20"/>
              </w:rPr>
            </w:pPr>
          </w:p>
        </w:tc>
        <w:tc>
          <w:tcPr>
            <w:tcW w:w="3030" w:type="dxa"/>
            <w:shd w:val="clear" w:color="auto" w:fill="F2F2F2"/>
          </w:tcPr>
          <w:p w14:paraId="74D0AA48"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other</w:t>
            </w:r>
          </w:p>
        </w:tc>
        <w:tc>
          <w:tcPr>
            <w:tcW w:w="1799" w:type="dxa"/>
            <w:shd w:val="clear" w:color="auto" w:fill="F2F2F2"/>
            <w:vAlign w:val="bottom"/>
          </w:tcPr>
          <w:p w14:paraId="04216F81"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14</w:t>
            </w:r>
          </w:p>
        </w:tc>
      </w:tr>
      <w:tr w:rsidR="007574FE" w:rsidRPr="008206DD" w14:paraId="2B45805C" w14:textId="77777777" w:rsidTr="00221076">
        <w:tc>
          <w:tcPr>
            <w:tcW w:w="1940" w:type="dxa"/>
            <w:vMerge w:val="restart"/>
          </w:tcPr>
          <w:p w14:paraId="77C64BC1"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type of research</w:t>
            </w:r>
          </w:p>
        </w:tc>
        <w:tc>
          <w:tcPr>
            <w:tcW w:w="2581" w:type="dxa"/>
            <w:vMerge w:val="restart"/>
          </w:tcPr>
          <w:p w14:paraId="0D551D62"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each article may be coded only once</w:t>
            </w:r>
          </w:p>
        </w:tc>
        <w:tc>
          <w:tcPr>
            <w:tcW w:w="3030" w:type="dxa"/>
          </w:tcPr>
          <w:p w14:paraId="1554EC3B"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primary</w:t>
            </w:r>
          </w:p>
        </w:tc>
        <w:tc>
          <w:tcPr>
            <w:tcW w:w="1799" w:type="dxa"/>
            <w:vAlign w:val="bottom"/>
          </w:tcPr>
          <w:p w14:paraId="75F74CAD"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84</w:t>
            </w:r>
          </w:p>
        </w:tc>
      </w:tr>
      <w:tr w:rsidR="007574FE" w:rsidRPr="008206DD" w14:paraId="2981E844" w14:textId="77777777" w:rsidTr="00221076">
        <w:tc>
          <w:tcPr>
            <w:tcW w:w="1940" w:type="dxa"/>
            <w:vMerge/>
          </w:tcPr>
          <w:p w14:paraId="245A1879" w14:textId="77777777" w:rsidR="007574FE" w:rsidRPr="008206DD" w:rsidRDefault="007574FE" w:rsidP="00221076">
            <w:pPr>
              <w:rPr>
                <w:rFonts w:ascii="Arial" w:eastAsia="Calibri" w:hAnsi="Arial" w:cs="Arial"/>
                <w:sz w:val="20"/>
                <w:szCs w:val="20"/>
              </w:rPr>
            </w:pPr>
          </w:p>
        </w:tc>
        <w:tc>
          <w:tcPr>
            <w:tcW w:w="2581" w:type="dxa"/>
            <w:vMerge/>
          </w:tcPr>
          <w:p w14:paraId="2F69A5A3" w14:textId="77777777" w:rsidR="007574FE" w:rsidRPr="008206DD" w:rsidRDefault="007574FE" w:rsidP="00221076">
            <w:pPr>
              <w:rPr>
                <w:rFonts w:ascii="Arial" w:eastAsia="Calibri" w:hAnsi="Arial" w:cs="Arial"/>
                <w:sz w:val="20"/>
                <w:szCs w:val="20"/>
              </w:rPr>
            </w:pPr>
          </w:p>
        </w:tc>
        <w:tc>
          <w:tcPr>
            <w:tcW w:w="3030" w:type="dxa"/>
          </w:tcPr>
          <w:p w14:paraId="0304233A"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secondary</w:t>
            </w:r>
          </w:p>
        </w:tc>
        <w:tc>
          <w:tcPr>
            <w:tcW w:w="1799" w:type="dxa"/>
            <w:vAlign w:val="bottom"/>
          </w:tcPr>
          <w:p w14:paraId="50C826B6"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14</w:t>
            </w:r>
          </w:p>
        </w:tc>
      </w:tr>
      <w:tr w:rsidR="007574FE" w:rsidRPr="008206DD" w14:paraId="1B747616" w14:textId="77777777" w:rsidTr="00221076">
        <w:tc>
          <w:tcPr>
            <w:tcW w:w="1940" w:type="dxa"/>
            <w:vMerge/>
          </w:tcPr>
          <w:p w14:paraId="77B84281" w14:textId="77777777" w:rsidR="007574FE" w:rsidRPr="008206DD" w:rsidRDefault="007574FE" w:rsidP="00221076">
            <w:pPr>
              <w:rPr>
                <w:rFonts w:ascii="Arial" w:eastAsia="Calibri" w:hAnsi="Arial" w:cs="Arial"/>
                <w:sz w:val="20"/>
                <w:szCs w:val="20"/>
              </w:rPr>
            </w:pPr>
          </w:p>
        </w:tc>
        <w:tc>
          <w:tcPr>
            <w:tcW w:w="2581" w:type="dxa"/>
            <w:vMerge/>
          </w:tcPr>
          <w:p w14:paraId="72DC4BD7" w14:textId="77777777" w:rsidR="007574FE" w:rsidRPr="008206DD" w:rsidRDefault="007574FE" w:rsidP="00221076">
            <w:pPr>
              <w:rPr>
                <w:rFonts w:ascii="Arial" w:eastAsia="Calibri" w:hAnsi="Arial" w:cs="Arial"/>
                <w:sz w:val="20"/>
                <w:szCs w:val="20"/>
              </w:rPr>
            </w:pPr>
          </w:p>
        </w:tc>
        <w:tc>
          <w:tcPr>
            <w:tcW w:w="3030" w:type="dxa"/>
          </w:tcPr>
          <w:p w14:paraId="0856766A"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commentary</w:t>
            </w:r>
          </w:p>
        </w:tc>
        <w:tc>
          <w:tcPr>
            <w:tcW w:w="1799" w:type="dxa"/>
            <w:vAlign w:val="bottom"/>
          </w:tcPr>
          <w:p w14:paraId="780964FF"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20</w:t>
            </w:r>
          </w:p>
        </w:tc>
      </w:tr>
      <w:tr w:rsidR="007574FE" w:rsidRPr="008206DD" w14:paraId="09F3ABB5" w14:textId="77777777" w:rsidTr="00221076">
        <w:tc>
          <w:tcPr>
            <w:tcW w:w="1940" w:type="dxa"/>
            <w:vMerge/>
          </w:tcPr>
          <w:p w14:paraId="5DE2EFC0" w14:textId="77777777" w:rsidR="007574FE" w:rsidRPr="008206DD" w:rsidRDefault="007574FE" w:rsidP="00221076">
            <w:pPr>
              <w:rPr>
                <w:rFonts w:ascii="Arial" w:eastAsia="Calibri" w:hAnsi="Arial" w:cs="Arial"/>
                <w:sz w:val="20"/>
                <w:szCs w:val="20"/>
              </w:rPr>
            </w:pPr>
          </w:p>
        </w:tc>
        <w:tc>
          <w:tcPr>
            <w:tcW w:w="2581" w:type="dxa"/>
            <w:vMerge/>
          </w:tcPr>
          <w:p w14:paraId="661476B5" w14:textId="77777777" w:rsidR="007574FE" w:rsidRPr="008206DD" w:rsidRDefault="007574FE" w:rsidP="00221076">
            <w:pPr>
              <w:rPr>
                <w:rFonts w:ascii="Arial" w:eastAsia="Calibri" w:hAnsi="Arial" w:cs="Arial"/>
                <w:sz w:val="20"/>
                <w:szCs w:val="20"/>
              </w:rPr>
            </w:pPr>
          </w:p>
        </w:tc>
        <w:tc>
          <w:tcPr>
            <w:tcW w:w="3030" w:type="dxa"/>
          </w:tcPr>
          <w:p w14:paraId="3A1AF56A"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other</w:t>
            </w:r>
          </w:p>
        </w:tc>
        <w:tc>
          <w:tcPr>
            <w:tcW w:w="1799" w:type="dxa"/>
            <w:vAlign w:val="bottom"/>
          </w:tcPr>
          <w:p w14:paraId="3745C06B"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12</w:t>
            </w:r>
          </w:p>
        </w:tc>
      </w:tr>
      <w:tr w:rsidR="007574FE" w:rsidRPr="008206DD" w14:paraId="3D0A9C45" w14:textId="77777777" w:rsidTr="00221076">
        <w:tc>
          <w:tcPr>
            <w:tcW w:w="1940" w:type="dxa"/>
            <w:vMerge w:val="restart"/>
            <w:shd w:val="clear" w:color="auto" w:fill="F2F2F2"/>
          </w:tcPr>
          <w:p w14:paraId="640EE245"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number of participants</w:t>
            </w:r>
          </w:p>
        </w:tc>
        <w:tc>
          <w:tcPr>
            <w:tcW w:w="2581" w:type="dxa"/>
            <w:vMerge w:val="restart"/>
            <w:shd w:val="clear" w:color="auto" w:fill="F2F2F2"/>
          </w:tcPr>
          <w:p w14:paraId="2A0B4EA7"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sz w:val="20"/>
                <w:szCs w:val="20"/>
              </w:rPr>
              <w:t>each article may be coded only once</w:t>
            </w:r>
          </w:p>
        </w:tc>
        <w:tc>
          <w:tcPr>
            <w:tcW w:w="3030" w:type="dxa"/>
            <w:shd w:val="clear" w:color="auto" w:fill="F2F2F2"/>
            <w:vAlign w:val="center"/>
          </w:tcPr>
          <w:p w14:paraId="0ED5317D"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one to ten</w:t>
            </w:r>
          </w:p>
        </w:tc>
        <w:tc>
          <w:tcPr>
            <w:tcW w:w="1799" w:type="dxa"/>
            <w:shd w:val="clear" w:color="auto" w:fill="F2F2F2"/>
            <w:vAlign w:val="bottom"/>
          </w:tcPr>
          <w:p w14:paraId="23D85391"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5</w:t>
            </w:r>
          </w:p>
        </w:tc>
      </w:tr>
      <w:tr w:rsidR="007574FE" w:rsidRPr="008206DD" w14:paraId="4B258239" w14:textId="77777777" w:rsidTr="00221076">
        <w:tc>
          <w:tcPr>
            <w:tcW w:w="1940" w:type="dxa"/>
            <w:vMerge/>
            <w:shd w:val="clear" w:color="auto" w:fill="F2F2F2"/>
          </w:tcPr>
          <w:p w14:paraId="5B19DE8D"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0A7BBF1D"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485F60A0"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eleven to thirty</w:t>
            </w:r>
          </w:p>
        </w:tc>
        <w:tc>
          <w:tcPr>
            <w:tcW w:w="1799" w:type="dxa"/>
            <w:shd w:val="clear" w:color="auto" w:fill="F2F2F2"/>
            <w:vAlign w:val="bottom"/>
          </w:tcPr>
          <w:p w14:paraId="0E0AB098"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11</w:t>
            </w:r>
          </w:p>
        </w:tc>
      </w:tr>
      <w:tr w:rsidR="007574FE" w:rsidRPr="008206DD" w14:paraId="5C0AEE4E" w14:textId="77777777" w:rsidTr="00221076">
        <w:tc>
          <w:tcPr>
            <w:tcW w:w="1940" w:type="dxa"/>
            <w:vMerge/>
            <w:shd w:val="clear" w:color="auto" w:fill="F2F2F2"/>
          </w:tcPr>
          <w:p w14:paraId="790197B9"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4D269E4D"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5D93C0D2"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31-60</w:t>
            </w:r>
          </w:p>
        </w:tc>
        <w:tc>
          <w:tcPr>
            <w:tcW w:w="1799" w:type="dxa"/>
            <w:shd w:val="clear" w:color="auto" w:fill="F2F2F2"/>
            <w:vAlign w:val="bottom"/>
          </w:tcPr>
          <w:p w14:paraId="085911C2"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12</w:t>
            </w:r>
          </w:p>
        </w:tc>
      </w:tr>
      <w:tr w:rsidR="007574FE" w:rsidRPr="008206DD" w14:paraId="2AFDF3B3" w14:textId="77777777" w:rsidTr="00221076">
        <w:tc>
          <w:tcPr>
            <w:tcW w:w="1940" w:type="dxa"/>
            <w:vMerge/>
            <w:shd w:val="clear" w:color="auto" w:fill="F2F2F2"/>
          </w:tcPr>
          <w:p w14:paraId="2A651455"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02C9CD3C"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12D32DCC"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61-100</w:t>
            </w:r>
          </w:p>
        </w:tc>
        <w:tc>
          <w:tcPr>
            <w:tcW w:w="1799" w:type="dxa"/>
            <w:shd w:val="clear" w:color="auto" w:fill="F2F2F2"/>
            <w:vAlign w:val="bottom"/>
          </w:tcPr>
          <w:p w14:paraId="4A90AB06"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9</w:t>
            </w:r>
          </w:p>
        </w:tc>
      </w:tr>
      <w:tr w:rsidR="007574FE" w:rsidRPr="008206DD" w14:paraId="7117A4B3" w14:textId="77777777" w:rsidTr="00221076">
        <w:tc>
          <w:tcPr>
            <w:tcW w:w="1940" w:type="dxa"/>
            <w:vMerge/>
            <w:shd w:val="clear" w:color="auto" w:fill="F2F2F2"/>
          </w:tcPr>
          <w:p w14:paraId="6B7AF0CB"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6674829F"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1EC3F6BD"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101+</w:t>
            </w:r>
          </w:p>
        </w:tc>
        <w:tc>
          <w:tcPr>
            <w:tcW w:w="1799" w:type="dxa"/>
            <w:shd w:val="clear" w:color="auto" w:fill="F2F2F2"/>
            <w:vAlign w:val="bottom"/>
          </w:tcPr>
          <w:p w14:paraId="5EDD767E"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37</w:t>
            </w:r>
          </w:p>
        </w:tc>
      </w:tr>
      <w:tr w:rsidR="007574FE" w:rsidRPr="008206DD" w14:paraId="0C7785A8" w14:textId="77777777" w:rsidTr="00221076">
        <w:tc>
          <w:tcPr>
            <w:tcW w:w="1940" w:type="dxa"/>
            <w:vMerge/>
            <w:shd w:val="clear" w:color="auto" w:fill="F2F2F2"/>
          </w:tcPr>
          <w:p w14:paraId="33165A91"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7B9D4A1C"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5C31016A"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system-wide</w:t>
            </w:r>
          </w:p>
        </w:tc>
        <w:tc>
          <w:tcPr>
            <w:tcW w:w="1799" w:type="dxa"/>
            <w:shd w:val="clear" w:color="auto" w:fill="F2F2F2"/>
            <w:vAlign w:val="bottom"/>
          </w:tcPr>
          <w:p w14:paraId="5F10396A"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2</w:t>
            </w:r>
          </w:p>
        </w:tc>
      </w:tr>
      <w:tr w:rsidR="007574FE" w:rsidRPr="008206DD" w14:paraId="66EC1431" w14:textId="77777777" w:rsidTr="00221076">
        <w:tc>
          <w:tcPr>
            <w:tcW w:w="1940" w:type="dxa"/>
            <w:vMerge/>
            <w:shd w:val="clear" w:color="auto" w:fill="F2F2F2"/>
          </w:tcPr>
          <w:p w14:paraId="604F31F4"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593C591F"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7B33E149"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not disclosed</w:t>
            </w:r>
          </w:p>
        </w:tc>
        <w:tc>
          <w:tcPr>
            <w:tcW w:w="1799" w:type="dxa"/>
            <w:shd w:val="clear" w:color="auto" w:fill="F2F2F2"/>
            <w:vAlign w:val="bottom"/>
          </w:tcPr>
          <w:p w14:paraId="1056A45C"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10</w:t>
            </w:r>
          </w:p>
        </w:tc>
      </w:tr>
      <w:tr w:rsidR="007574FE" w:rsidRPr="008206DD" w14:paraId="563801D1" w14:textId="77777777" w:rsidTr="00221076">
        <w:tc>
          <w:tcPr>
            <w:tcW w:w="1940" w:type="dxa"/>
            <w:vMerge w:val="restart"/>
          </w:tcPr>
          <w:p w14:paraId="09CF938A"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learner level</w:t>
            </w:r>
          </w:p>
        </w:tc>
        <w:tc>
          <w:tcPr>
            <w:tcW w:w="2581" w:type="dxa"/>
            <w:vMerge w:val="restart"/>
          </w:tcPr>
          <w:p w14:paraId="7B5BD2A5"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each article can be coded multiple times</w:t>
            </w:r>
          </w:p>
        </w:tc>
        <w:tc>
          <w:tcPr>
            <w:tcW w:w="3030" w:type="dxa"/>
            <w:vAlign w:val="center"/>
          </w:tcPr>
          <w:p w14:paraId="0CAD0904" w14:textId="77777777" w:rsidR="007574FE" w:rsidRPr="008206DD" w:rsidRDefault="007574FE" w:rsidP="00221076">
            <w:pPr>
              <w:rPr>
                <w:rFonts w:ascii="Arial" w:eastAsia="Calibri" w:hAnsi="Arial" w:cs="Arial"/>
                <w:b/>
                <w:bCs/>
                <w:sz w:val="20"/>
                <w:szCs w:val="20"/>
              </w:rPr>
            </w:pPr>
            <w:r w:rsidRPr="008206DD">
              <w:rPr>
                <w:rFonts w:ascii="Arial" w:eastAsia="Calibri" w:hAnsi="Arial" w:cs="Arial"/>
                <w:color w:val="000000"/>
                <w:sz w:val="20"/>
                <w:szCs w:val="20"/>
              </w:rPr>
              <w:t>undergrad students</w:t>
            </w:r>
          </w:p>
        </w:tc>
        <w:tc>
          <w:tcPr>
            <w:tcW w:w="1799" w:type="dxa"/>
            <w:vAlign w:val="bottom"/>
          </w:tcPr>
          <w:p w14:paraId="653FA8B5"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60</w:t>
            </w:r>
          </w:p>
        </w:tc>
      </w:tr>
      <w:tr w:rsidR="007574FE" w:rsidRPr="008206DD" w14:paraId="56E3D771" w14:textId="77777777" w:rsidTr="00221076">
        <w:tc>
          <w:tcPr>
            <w:tcW w:w="1940" w:type="dxa"/>
            <w:vMerge/>
          </w:tcPr>
          <w:p w14:paraId="3DAA9581" w14:textId="77777777" w:rsidR="007574FE" w:rsidRPr="008206DD" w:rsidRDefault="007574FE" w:rsidP="00221076">
            <w:pPr>
              <w:rPr>
                <w:rFonts w:ascii="Arial" w:eastAsia="Calibri" w:hAnsi="Arial" w:cs="Arial"/>
                <w:sz w:val="20"/>
                <w:szCs w:val="20"/>
              </w:rPr>
            </w:pPr>
          </w:p>
        </w:tc>
        <w:tc>
          <w:tcPr>
            <w:tcW w:w="2581" w:type="dxa"/>
            <w:vMerge/>
          </w:tcPr>
          <w:p w14:paraId="543642E3"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40B0F42D" w14:textId="77777777" w:rsidR="007574FE" w:rsidRPr="008206DD" w:rsidRDefault="007574FE" w:rsidP="00221076">
            <w:pPr>
              <w:rPr>
                <w:rFonts w:ascii="Arial" w:eastAsia="Calibri" w:hAnsi="Arial" w:cs="Arial"/>
                <w:b/>
                <w:bCs/>
                <w:sz w:val="20"/>
                <w:szCs w:val="20"/>
              </w:rPr>
            </w:pPr>
            <w:r w:rsidRPr="008206DD">
              <w:rPr>
                <w:rFonts w:ascii="Arial" w:eastAsia="Calibri" w:hAnsi="Arial" w:cs="Arial"/>
                <w:color w:val="000000"/>
                <w:sz w:val="20"/>
                <w:szCs w:val="20"/>
              </w:rPr>
              <w:t>grad students</w:t>
            </w:r>
          </w:p>
        </w:tc>
        <w:tc>
          <w:tcPr>
            <w:tcW w:w="1799" w:type="dxa"/>
            <w:vAlign w:val="bottom"/>
          </w:tcPr>
          <w:p w14:paraId="5F9449E6"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50</w:t>
            </w:r>
          </w:p>
        </w:tc>
      </w:tr>
      <w:tr w:rsidR="007574FE" w:rsidRPr="008206DD" w14:paraId="613FAF16" w14:textId="77777777" w:rsidTr="00221076">
        <w:tc>
          <w:tcPr>
            <w:tcW w:w="1940" w:type="dxa"/>
            <w:vMerge/>
          </w:tcPr>
          <w:p w14:paraId="7DCCF08D" w14:textId="77777777" w:rsidR="007574FE" w:rsidRPr="008206DD" w:rsidRDefault="007574FE" w:rsidP="00221076">
            <w:pPr>
              <w:rPr>
                <w:rFonts w:ascii="Arial" w:eastAsia="Calibri" w:hAnsi="Arial" w:cs="Arial"/>
                <w:sz w:val="20"/>
                <w:szCs w:val="20"/>
              </w:rPr>
            </w:pPr>
          </w:p>
        </w:tc>
        <w:tc>
          <w:tcPr>
            <w:tcW w:w="2581" w:type="dxa"/>
            <w:vMerge/>
          </w:tcPr>
          <w:p w14:paraId="3A353DA5"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278AB67D" w14:textId="77777777" w:rsidR="007574FE" w:rsidRPr="008206DD" w:rsidRDefault="007574FE" w:rsidP="00221076">
            <w:pPr>
              <w:rPr>
                <w:rFonts w:ascii="Arial" w:eastAsia="Calibri" w:hAnsi="Arial" w:cs="Arial"/>
                <w:b/>
                <w:bCs/>
                <w:sz w:val="20"/>
                <w:szCs w:val="20"/>
              </w:rPr>
            </w:pPr>
            <w:r w:rsidRPr="008206DD">
              <w:rPr>
                <w:rFonts w:ascii="Arial" w:eastAsia="Calibri" w:hAnsi="Arial" w:cs="Arial"/>
                <w:color w:val="000000"/>
                <w:sz w:val="20"/>
                <w:szCs w:val="20"/>
              </w:rPr>
              <w:t>faculty</w:t>
            </w:r>
          </w:p>
        </w:tc>
        <w:tc>
          <w:tcPr>
            <w:tcW w:w="1799" w:type="dxa"/>
            <w:vAlign w:val="bottom"/>
          </w:tcPr>
          <w:p w14:paraId="0F87A132"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14</w:t>
            </w:r>
          </w:p>
        </w:tc>
      </w:tr>
      <w:tr w:rsidR="007574FE" w:rsidRPr="008206DD" w14:paraId="336EA446" w14:textId="77777777" w:rsidTr="00221076">
        <w:tc>
          <w:tcPr>
            <w:tcW w:w="1940" w:type="dxa"/>
            <w:vMerge/>
          </w:tcPr>
          <w:p w14:paraId="632CDA79" w14:textId="77777777" w:rsidR="007574FE" w:rsidRPr="008206DD" w:rsidRDefault="007574FE" w:rsidP="00221076">
            <w:pPr>
              <w:rPr>
                <w:rFonts w:ascii="Arial" w:eastAsia="Calibri" w:hAnsi="Arial" w:cs="Arial"/>
                <w:sz w:val="20"/>
                <w:szCs w:val="20"/>
              </w:rPr>
            </w:pPr>
          </w:p>
        </w:tc>
        <w:tc>
          <w:tcPr>
            <w:tcW w:w="2581" w:type="dxa"/>
            <w:vMerge/>
          </w:tcPr>
          <w:p w14:paraId="4AC63AFC"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31D1A605" w14:textId="77777777" w:rsidR="007574FE" w:rsidRPr="008206DD" w:rsidRDefault="007574FE" w:rsidP="00221076">
            <w:pPr>
              <w:rPr>
                <w:rFonts w:ascii="Arial" w:eastAsia="Calibri" w:hAnsi="Arial" w:cs="Arial"/>
                <w:b/>
                <w:bCs/>
                <w:sz w:val="20"/>
                <w:szCs w:val="20"/>
              </w:rPr>
            </w:pPr>
            <w:r w:rsidRPr="008206DD">
              <w:rPr>
                <w:rFonts w:ascii="Arial" w:eastAsia="Calibri" w:hAnsi="Arial" w:cs="Arial"/>
                <w:color w:val="000000"/>
                <w:sz w:val="20"/>
                <w:szCs w:val="20"/>
              </w:rPr>
              <w:t>clinicians</w:t>
            </w:r>
          </w:p>
        </w:tc>
        <w:tc>
          <w:tcPr>
            <w:tcW w:w="1799" w:type="dxa"/>
            <w:vAlign w:val="bottom"/>
          </w:tcPr>
          <w:p w14:paraId="52DAEACD"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19</w:t>
            </w:r>
          </w:p>
        </w:tc>
      </w:tr>
      <w:tr w:rsidR="007574FE" w:rsidRPr="008206DD" w14:paraId="0B1BAE24" w14:textId="77777777" w:rsidTr="00221076">
        <w:tc>
          <w:tcPr>
            <w:tcW w:w="1940" w:type="dxa"/>
            <w:vMerge/>
          </w:tcPr>
          <w:p w14:paraId="36A0D730" w14:textId="77777777" w:rsidR="007574FE" w:rsidRPr="008206DD" w:rsidRDefault="007574FE" w:rsidP="00221076">
            <w:pPr>
              <w:rPr>
                <w:rFonts w:ascii="Arial" w:eastAsia="Calibri" w:hAnsi="Arial" w:cs="Arial"/>
                <w:sz w:val="20"/>
                <w:szCs w:val="20"/>
              </w:rPr>
            </w:pPr>
          </w:p>
        </w:tc>
        <w:tc>
          <w:tcPr>
            <w:tcW w:w="2581" w:type="dxa"/>
            <w:vMerge/>
          </w:tcPr>
          <w:p w14:paraId="536C2A66"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77A35C59" w14:textId="77777777" w:rsidR="007574FE" w:rsidRPr="008206DD" w:rsidRDefault="007574FE" w:rsidP="00221076">
            <w:pPr>
              <w:rPr>
                <w:rFonts w:ascii="Arial" w:eastAsia="Calibri" w:hAnsi="Arial" w:cs="Arial"/>
                <w:b/>
                <w:bCs/>
                <w:sz w:val="20"/>
                <w:szCs w:val="20"/>
              </w:rPr>
            </w:pPr>
            <w:r w:rsidRPr="008206DD">
              <w:rPr>
                <w:rFonts w:ascii="Arial" w:eastAsia="Calibri" w:hAnsi="Arial" w:cs="Arial"/>
                <w:color w:val="000000"/>
                <w:sz w:val="20"/>
                <w:szCs w:val="20"/>
              </w:rPr>
              <w:t>fieldwork preceptors</w:t>
            </w:r>
          </w:p>
        </w:tc>
        <w:tc>
          <w:tcPr>
            <w:tcW w:w="1799" w:type="dxa"/>
            <w:vAlign w:val="bottom"/>
          </w:tcPr>
          <w:p w14:paraId="511AC59B"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3</w:t>
            </w:r>
          </w:p>
        </w:tc>
      </w:tr>
      <w:tr w:rsidR="007574FE" w:rsidRPr="008206DD" w14:paraId="48FF1DF5" w14:textId="77777777" w:rsidTr="00221076">
        <w:tc>
          <w:tcPr>
            <w:tcW w:w="1940" w:type="dxa"/>
            <w:vMerge/>
          </w:tcPr>
          <w:p w14:paraId="3FF464F5" w14:textId="77777777" w:rsidR="007574FE" w:rsidRPr="008206DD" w:rsidRDefault="007574FE" w:rsidP="00221076">
            <w:pPr>
              <w:rPr>
                <w:rFonts w:ascii="Arial" w:eastAsia="Calibri" w:hAnsi="Arial" w:cs="Arial"/>
                <w:sz w:val="20"/>
                <w:szCs w:val="20"/>
              </w:rPr>
            </w:pPr>
          </w:p>
        </w:tc>
        <w:tc>
          <w:tcPr>
            <w:tcW w:w="2581" w:type="dxa"/>
            <w:vMerge/>
          </w:tcPr>
          <w:p w14:paraId="1DD1E897"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18D4BDAD" w14:textId="77777777" w:rsidR="007574FE" w:rsidRPr="008206DD" w:rsidRDefault="007574FE" w:rsidP="00221076">
            <w:pPr>
              <w:rPr>
                <w:rFonts w:ascii="Arial" w:eastAsia="Calibri" w:hAnsi="Arial" w:cs="Arial"/>
                <w:b/>
                <w:bCs/>
                <w:sz w:val="20"/>
                <w:szCs w:val="20"/>
              </w:rPr>
            </w:pPr>
            <w:r w:rsidRPr="008206DD">
              <w:rPr>
                <w:rFonts w:ascii="Arial" w:eastAsia="Calibri" w:hAnsi="Arial" w:cs="Arial"/>
                <w:color w:val="000000"/>
                <w:sz w:val="20"/>
                <w:szCs w:val="20"/>
              </w:rPr>
              <w:t>other</w:t>
            </w:r>
          </w:p>
        </w:tc>
        <w:tc>
          <w:tcPr>
            <w:tcW w:w="1799" w:type="dxa"/>
            <w:vAlign w:val="bottom"/>
          </w:tcPr>
          <w:p w14:paraId="347D6100"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29</w:t>
            </w:r>
          </w:p>
        </w:tc>
      </w:tr>
      <w:tr w:rsidR="007574FE" w:rsidRPr="008206DD" w14:paraId="415ED229" w14:textId="77777777" w:rsidTr="00221076">
        <w:tc>
          <w:tcPr>
            <w:tcW w:w="1940" w:type="dxa"/>
            <w:vMerge w:val="restart"/>
            <w:shd w:val="clear" w:color="auto" w:fill="F2F2F2"/>
          </w:tcPr>
          <w:p w14:paraId="7E2D1B7D"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learner/collaborator discipline</w:t>
            </w:r>
          </w:p>
        </w:tc>
        <w:tc>
          <w:tcPr>
            <w:tcW w:w="2581" w:type="dxa"/>
            <w:vMerge w:val="restart"/>
            <w:shd w:val="clear" w:color="auto" w:fill="F2F2F2"/>
          </w:tcPr>
          <w:p w14:paraId="2384824C"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each article can be coded multiple times</w:t>
            </w:r>
          </w:p>
        </w:tc>
        <w:tc>
          <w:tcPr>
            <w:tcW w:w="3030" w:type="dxa"/>
            <w:shd w:val="clear" w:color="auto" w:fill="F2F2F2"/>
            <w:vAlign w:val="center"/>
          </w:tcPr>
          <w:p w14:paraId="2D876910"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general</w:t>
            </w:r>
          </w:p>
        </w:tc>
        <w:tc>
          <w:tcPr>
            <w:tcW w:w="1799" w:type="dxa"/>
            <w:shd w:val="clear" w:color="auto" w:fill="F2F2F2"/>
            <w:vAlign w:val="bottom"/>
          </w:tcPr>
          <w:p w14:paraId="3ED66148"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11</w:t>
            </w:r>
          </w:p>
        </w:tc>
      </w:tr>
      <w:tr w:rsidR="007574FE" w:rsidRPr="008206DD" w14:paraId="2AEE2F7F" w14:textId="77777777" w:rsidTr="00221076">
        <w:tc>
          <w:tcPr>
            <w:tcW w:w="1940" w:type="dxa"/>
            <w:vMerge/>
            <w:shd w:val="clear" w:color="auto" w:fill="F2F2F2"/>
          </w:tcPr>
          <w:p w14:paraId="6DB141EA"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443A91BD"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15F5D083"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med</w:t>
            </w:r>
          </w:p>
        </w:tc>
        <w:tc>
          <w:tcPr>
            <w:tcW w:w="1799" w:type="dxa"/>
            <w:shd w:val="clear" w:color="auto" w:fill="F2F2F2"/>
            <w:vAlign w:val="bottom"/>
          </w:tcPr>
          <w:p w14:paraId="124CE4B2"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37</w:t>
            </w:r>
          </w:p>
        </w:tc>
      </w:tr>
      <w:tr w:rsidR="007574FE" w:rsidRPr="008206DD" w14:paraId="15E07623" w14:textId="77777777" w:rsidTr="00221076">
        <w:tc>
          <w:tcPr>
            <w:tcW w:w="1940" w:type="dxa"/>
            <w:vMerge/>
            <w:shd w:val="clear" w:color="auto" w:fill="F2F2F2"/>
          </w:tcPr>
          <w:p w14:paraId="0EA0E2C6"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4D286BEB"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22C0F3BC" w14:textId="77777777" w:rsidR="007574FE" w:rsidRPr="008206DD" w:rsidRDefault="007574FE" w:rsidP="00221076">
            <w:pPr>
              <w:rPr>
                <w:rFonts w:ascii="Arial" w:eastAsia="Calibri" w:hAnsi="Arial" w:cs="Arial"/>
                <w:sz w:val="20"/>
                <w:szCs w:val="20"/>
              </w:rPr>
            </w:pPr>
            <w:r w:rsidRPr="008206DD">
              <w:rPr>
                <w:rFonts w:ascii="Arial" w:eastAsia="Calibri" w:hAnsi="Arial" w:cs="Arial"/>
                <w:color w:val="000000"/>
                <w:sz w:val="20"/>
                <w:szCs w:val="20"/>
              </w:rPr>
              <w:t>nursing</w:t>
            </w:r>
          </w:p>
        </w:tc>
        <w:tc>
          <w:tcPr>
            <w:tcW w:w="1799" w:type="dxa"/>
            <w:shd w:val="clear" w:color="auto" w:fill="F2F2F2"/>
            <w:vAlign w:val="bottom"/>
          </w:tcPr>
          <w:p w14:paraId="5F533336"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50</w:t>
            </w:r>
          </w:p>
        </w:tc>
      </w:tr>
      <w:tr w:rsidR="007574FE" w:rsidRPr="008206DD" w14:paraId="46C54B39" w14:textId="77777777" w:rsidTr="00221076">
        <w:tc>
          <w:tcPr>
            <w:tcW w:w="1940" w:type="dxa"/>
            <w:vMerge/>
            <w:shd w:val="clear" w:color="auto" w:fill="F2F2F2"/>
          </w:tcPr>
          <w:p w14:paraId="5F20D62F"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09C5AF21"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7FDC4799"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occupational therapy</w:t>
            </w:r>
          </w:p>
        </w:tc>
        <w:tc>
          <w:tcPr>
            <w:tcW w:w="1799" w:type="dxa"/>
            <w:shd w:val="clear" w:color="auto" w:fill="F2F2F2"/>
            <w:vAlign w:val="bottom"/>
          </w:tcPr>
          <w:p w14:paraId="40B3A4C7"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12</w:t>
            </w:r>
          </w:p>
        </w:tc>
      </w:tr>
      <w:tr w:rsidR="007574FE" w:rsidRPr="008206DD" w14:paraId="514BFAA2" w14:textId="77777777" w:rsidTr="00221076">
        <w:tc>
          <w:tcPr>
            <w:tcW w:w="1940" w:type="dxa"/>
            <w:vMerge/>
            <w:shd w:val="clear" w:color="auto" w:fill="F2F2F2"/>
          </w:tcPr>
          <w:p w14:paraId="19E396E3"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4B203963"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2E466A46"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physical therapy</w:t>
            </w:r>
          </w:p>
        </w:tc>
        <w:tc>
          <w:tcPr>
            <w:tcW w:w="1799" w:type="dxa"/>
            <w:shd w:val="clear" w:color="auto" w:fill="F2F2F2"/>
            <w:vAlign w:val="bottom"/>
          </w:tcPr>
          <w:p w14:paraId="5E67DB11"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10</w:t>
            </w:r>
          </w:p>
        </w:tc>
      </w:tr>
      <w:tr w:rsidR="007574FE" w:rsidRPr="008206DD" w14:paraId="2B4D3390" w14:textId="77777777" w:rsidTr="00221076">
        <w:tc>
          <w:tcPr>
            <w:tcW w:w="1940" w:type="dxa"/>
            <w:vMerge/>
            <w:shd w:val="clear" w:color="auto" w:fill="F2F2F2"/>
          </w:tcPr>
          <w:p w14:paraId="6ADB026C"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6EF8E6D0"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5DBBA3E2"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sports medicine</w:t>
            </w:r>
          </w:p>
        </w:tc>
        <w:tc>
          <w:tcPr>
            <w:tcW w:w="1799" w:type="dxa"/>
            <w:shd w:val="clear" w:color="auto" w:fill="F2F2F2"/>
            <w:vAlign w:val="bottom"/>
          </w:tcPr>
          <w:p w14:paraId="028B0BB8"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2</w:t>
            </w:r>
          </w:p>
        </w:tc>
      </w:tr>
      <w:tr w:rsidR="007574FE" w:rsidRPr="008206DD" w14:paraId="1061976B" w14:textId="77777777" w:rsidTr="00221076">
        <w:tc>
          <w:tcPr>
            <w:tcW w:w="1940" w:type="dxa"/>
            <w:vMerge/>
            <w:shd w:val="clear" w:color="auto" w:fill="F2F2F2"/>
          </w:tcPr>
          <w:p w14:paraId="4BBFEB1D"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1CAB932D"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7D39DE71"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population/public health</w:t>
            </w:r>
          </w:p>
        </w:tc>
        <w:tc>
          <w:tcPr>
            <w:tcW w:w="1799" w:type="dxa"/>
            <w:shd w:val="clear" w:color="auto" w:fill="F2F2F2"/>
            <w:vAlign w:val="bottom"/>
          </w:tcPr>
          <w:p w14:paraId="30177EA0"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3</w:t>
            </w:r>
          </w:p>
        </w:tc>
      </w:tr>
      <w:tr w:rsidR="007574FE" w:rsidRPr="008206DD" w14:paraId="7415FFED" w14:textId="77777777" w:rsidTr="00221076">
        <w:tc>
          <w:tcPr>
            <w:tcW w:w="1940" w:type="dxa"/>
            <w:vMerge/>
            <w:shd w:val="clear" w:color="auto" w:fill="F2F2F2"/>
          </w:tcPr>
          <w:p w14:paraId="0AFAAECE"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4E10BA86"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72D08E87"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physician assistant</w:t>
            </w:r>
          </w:p>
        </w:tc>
        <w:tc>
          <w:tcPr>
            <w:tcW w:w="1799" w:type="dxa"/>
            <w:shd w:val="clear" w:color="auto" w:fill="F2F2F2"/>
            <w:vAlign w:val="bottom"/>
          </w:tcPr>
          <w:p w14:paraId="45F8C7CE"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2</w:t>
            </w:r>
          </w:p>
        </w:tc>
      </w:tr>
      <w:tr w:rsidR="007574FE" w:rsidRPr="008206DD" w14:paraId="490D56D8" w14:textId="77777777" w:rsidTr="00221076">
        <w:tc>
          <w:tcPr>
            <w:tcW w:w="1940" w:type="dxa"/>
            <w:vMerge/>
            <w:shd w:val="clear" w:color="auto" w:fill="F2F2F2"/>
          </w:tcPr>
          <w:p w14:paraId="0B081BFD"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51267A2C"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4C29CBD7"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biomedicine</w:t>
            </w:r>
          </w:p>
        </w:tc>
        <w:tc>
          <w:tcPr>
            <w:tcW w:w="1799" w:type="dxa"/>
            <w:shd w:val="clear" w:color="auto" w:fill="F2F2F2"/>
            <w:vAlign w:val="bottom"/>
          </w:tcPr>
          <w:p w14:paraId="7A7DD97C"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6</w:t>
            </w:r>
          </w:p>
        </w:tc>
      </w:tr>
      <w:tr w:rsidR="007574FE" w:rsidRPr="008206DD" w14:paraId="10D8A17D" w14:textId="77777777" w:rsidTr="00221076">
        <w:tc>
          <w:tcPr>
            <w:tcW w:w="1940" w:type="dxa"/>
            <w:vMerge/>
            <w:shd w:val="clear" w:color="auto" w:fill="F2F2F2"/>
          </w:tcPr>
          <w:p w14:paraId="1FC96C6B"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0D511772"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7AFD2A55"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social work</w:t>
            </w:r>
          </w:p>
        </w:tc>
        <w:tc>
          <w:tcPr>
            <w:tcW w:w="1799" w:type="dxa"/>
            <w:shd w:val="clear" w:color="auto" w:fill="F2F2F2"/>
            <w:vAlign w:val="bottom"/>
          </w:tcPr>
          <w:p w14:paraId="5D4DE860"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4</w:t>
            </w:r>
          </w:p>
        </w:tc>
      </w:tr>
      <w:tr w:rsidR="007574FE" w:rsidRPr="008206DD" w14:paraId="3C0B927F" w14:textId="77777777" w:rsidTr="00221076">
        <w:tc>
          <w:tcPr>
            <w:tcW w:w="1940" w:type="dxa"/>
            <w:vMerge/>
            <w:shd w:val="clear" w:color="auto" w:fill="F2F2F2"/>
          </w:tcPr>
          <w:p w14:paraId="61B8007D"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6AF7B192"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3B64190A"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other</w:t>
            </w:r>
          </w:p>
        </w:tc>
        <w:tc>
          <w:tcPr>
            <w:tcW w:w="1799" w:type="dxa"/>
            <w:shd w:val="clear" w:color="auto" w:fill="F2F2F2"/>
            <w:vAlign w:val="bottom"/>
          </w:tcPr>
          <w:p w14:paraId="0A2156CC"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46</w:t>
            </w:r>
          </w:p>
        </w:tc>
      </w:tr>
      <w:tr w:rsidR="007574FE" w:rsidRPr="008206DD" w14:paraId="3618F141" w14:textId="77777777" w:rsidTr="00221076">
        <w:tc>
          <w:tcPr>
            <w:tcW w:w="1940" w:type="dxa"/>
            <w:vMerge w:val="restart"/>
          </w:tcPr>
          <w:p w14:paraId="22FFE96E"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IL frameworks</w:t>
            </w:r>
          </w:p>
        </w:tc>
        <w:tc>
          <w:tcPr>
            <w:tcW w:w="2581" w:type="dxa"/>
            <w:vMerge w:val="restart"/>
          </w:tcPr>
          <w:p w14:paraId="4EAAEBE3"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each article can be coded multiple times</w:t>
            </w:r>
          </w:p>
        </w:tc>
        <w:tc>
          <w:tcPr>
            <w:tcW w:w="3030" w:type="dxa"/>
            <w:vAlign w:val="center"/>
          </w:tcPr>
          <w:p w14:paraId="0E2855E2"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ACRL total</w:t>
            </w:r>
          </w:p>
        </w:tc>
        <w:tc>
          <w:tcPr>
            <w:tcW w:w="1799" w:type="dxa"/>
            <w:vAlign w:val="bottom"/>
          </w:tcPr>
          <w:p w14:paraId="3C738097"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40</w:t>
            </w:r>
          </w:p>
        </w:tc>
      </w:tr>
      <w:tr w:rsidR="007574FE" w:rsidRPr="008206DD" w14:paraId="2D871F58" w14:textId="77777777" w:rsidTr="00221076">
        <w:tc>
          <w:tcPr>
            <w:tcW w:w="1940" w:type="dxa"/>
            <w:vMerge/>
          </w:tcPr>
          <w:p w14:paraId="75EC20A1" w14:textId="77777777" w:rsidR="007574FE" w:rsidRPr="008206DD" w:rsidRDefault="007574FE" w:rsidP="00221076">
            <w:pPr>
              <w:rPr>
                <w:rFonts w:ascii="Arial" w:eastAsia="Calibri" w:hAnsi="Arial" w:cs="Arial"/>
                <w:sz w:val="20"/>
                <w:szCs w:val="20"/>
              </w:rPr>
            </w:pPr>
          </w:p>
        </w:tc>
        <w:tc>
          <w:tcPr>
            <w:tcW w:w="2581" w:type="dxa"/>
            <w:vMerge/>
          </w:tcPr>
          <w:p w14:paraId="7EACAE68"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41ABB79A"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other</w:t>
            </w:r>
          </w:p>
        </w:tc>
        <w:tc>
          <w:tcPr>
            <w:tcW w:w="1799" w:type="dxa"/>
            <w:vAlign w:val="bottom"/>
          </w:tcPr>
          <w:p w14:paraId="73AF7778"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28</w:t>
            </w:r>
          </w:p>
        </w:tc>
      </w:tr>
      <w:tr w:rsidR="007574FE" w:rsidRPr="008206DD" w14:paraId="62AC40D4" w14:textId="77777777" w:rsidTr="00221076">
        <w:tc>
          <w:tcPr>
            <w:tcW w:w="1940" w:type="dxa"/>
            <w:vMerge/>
          </w:tcPr>
          <w:p w14:paraId="33CA4A69" w14:textId="77777777" w:rsidR="007574FE" w:rsidRPr="008206DD" w:rsidRDefault="007574FE" w:rsidP="00221076">
            <w:pPr>
              <w:rPr>
                <w:rFonts w:ascii="Arial" w:eastAsia="Calibri" w:hAnsi="Arial" w:cs="Arial"/>
                <w:sz w:val="20"/>
                <w:szCs w:val="20"/>
              </w:rPr>
            </w:pPr>
          </w:p>
        </w:tc>
        <w:tc>
          <w:tcPr>
            <w:tcW w:w="2581" w:type="dxa"/>
            <w:vMerge/>
          </w:tcPr>
          <w:p w14:paraId="72957702"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6B0371E6"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none</w:t>
            </w:r>
          </w:p>
        </w:tc>
        <w:tc>
          <w:tcPr>
            <w:tcW w:w="1799" w:type="dxa"/>
            <w:vAlign w:val="bottom"/>
          </w:tcPr>
          <w:p w14:paraId="7E356D3A"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39</w:t>
            </w:r>
          </w:p>
        </w:tc>
      </w:tr>
      <w:tr w:rsidR="007574FE" w:rsidRPr="008206DD" w14:paraId="634808F7" w14:textId="77777777" w:rsidTr="00221076">
        <w:tc>
          <w:tcPr>
            <w:tcW w:w="1940" w:type="dxa"/>
            <w:vMerge/>
          </w:tcPr>
          <w:p w14:paraId="0540017A" w14:textId="77777777" w:rsidR="007574FE" w:rsidRPr="008206DD" w:rsidRDefault="007574FE" w:rsidP="00221076">
            <w:pPr>
              <w:rPr>
                <w:rFonts w:ascii="Arial" w:eastAsia="Calibri" w:hAnsi="Arial" w:cs="Arial"/>
                <w:sz w:val="20"/>
                <w:szCs w:val="20"/>
              </w:rPr>
            </w:pPr>
          </w:p>
        </w:tc>
        <w:tc>
          <w:tcPr>
            <w:tcW w:w="2581" w:type="dxa"/>
            <w:vMerge/>
          </w:tcPr>
          <w:p w14:paraId="03854D7C"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2BFA4F50"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prof org frame</w:t>
            </w:r>
          </w:p>
        </w:tc>
        <w:tc>
          <w:tcPr>
            <w:tcW w:w="1799" w:type="dxa"/>
            <w:vAlign w:val="bottom"/>
          </w:tcPr>
          <w:p w14:paraId="3CC16B8E"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27</w:t>
            </w:r>
          </w:p>
        </w:tc>
      </w:tr>
      <w:tr w:rsidR="007574FE" w:rsidRPr="008206DD" w14:paraId="5BF9F110" w14:textId="77777777" w:rsidTr="00221076">
        <w:tc>
          <w:tcPr>
            <w:tcW w:w="1940" w:type="dxa"/>
            <w:vMerge/>
          </w:tcPr>
          <w:p w14:paraId="5D8CD886" w14:textId="77777777" w:rsidR="007574FE" w:rsidRPr="008206DD" w:rsidRDefault="007574FE" w:rsidP="00221076">
            <w:pPr>
              <w:rPr>
                <w:rFonts w:ascii="Arial" w:eastAsia="Calibri" w:hAnsi="Arial" w:cs="Arial"/>
                <w:sz w:val="20"/>
                <w:szCs w:val="20"/>
              </w:rPr>
            </w:pPr>
          </w:p>
        </w:tc>
        <w:tc>
          <w:tcPr>
            <w:tcW w:w="2581" w:type="dxa"/>
            <w:vMerge/>
          </w:tcPr>
          <w:p w14:paraId="7F5B82FD"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74BD1CD7"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LCME</w:t>
            </w:r>
          </w:p>
        </w:tc>
        <w:tc>
          <w:tcPr>
            <w:tcW w:w="1799" w:type="dxa"/>
            <w:vAlign w:val="bottom"/>
          </w:tcPr>
          <w:p w14:paraId="16086AE8"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2</w:t>
            </w:r>
          </w:p>
        </w:tc>
      </w:tr>
      <w:tr w:rsidR="007574FE" w:rsidRPr="008206DD" w14:paraId="4CB85475" w14:textId="77777777" w:rsidTr="00221076">
        <w:tc>
          <w:tcPr>
            <w:tcW w:w="1940" w:type="dxa"/>
            <w:vMerge/>
          </w:tcPr>
          <w:p w14:paraId="1EA1E827" w14:textId="77777777" w:rsidR="007574FE" w:rsidRPr="008206DD" w:rsidRDefault="007574FE" w:rsidP="00221076">
            <w:pPr>
              <w:rPr>
                <w:rFonts w:ascii="Arial" w:eastAsia="Calibri" w:hAnsi="Arial" w:cs="Arial"/>
                <w:sz w:val="20"/>
                <w:szCs w:val="20"/>
              </w:rPr>
            </w:pPr>
          </w:p>
        </w:tc>
        <w:tc>
          <w:tcPr>
            <w:tcW w:w="2581" w:type="dxa"/>
            <w:vMerge/>
          </w:tcPr>
          <w:p w14:paraId="4453E4E1"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618054DE"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EBP/M/N</w:t>
            </w:r>
          </w:p>
        </w:tc>
        <w:tc>
          <w:tcPr>
            <w:tcW w:w="1799" w:type="dxa"/>
            <w:vAlign w:val="bottom"/>
          </w:tcPr>
          <w:p w14:paraId="1344AD48"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31</w:t>
            </w:r>
          </w:p>
        </w:tc>
      </w:tr>
      <w:tr w:rsidR="007574FE" w:rsidRPr="008206DD" w14:paraId="142C6CA5" w14:textId="77777777" w:rsidTr="00221076">
        <w:tc>
          <w:tcPr>
            <w:tcW w:w="1940" w:type="dxa"/>
            <w:vMerge/>
          </w:tcPr>
          <w:p w14:paraId="568CFA46" w14:textId="77777777" w:rsidR="007574FE" w:rsidRPr="008206DD" w:rsidRDefault="007574FE" w:rsidP="00221076">
            <w:pPr>
              <w:rPr>
                <w:rFonts w:ascii="Arial" w:eastAsia="Calibri" w:hAnsi="Arial" w:cs="Arial"/>
                <w:sz w:val="20"/>
                <w:szCs w:val="20"/>
              </w:rPr>
            </w:pPr>
          </w:p>
        </w:tc>
        <w:tc>
          <w:tcPr>
            <w:tcW w:w="2581" w:type="dxa"/>
            <w:vMerge/>
          </w:tcPr>
          <w:p w14:paraId="796A2D3D"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795666E1"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AAMC</w:t>
            </w:r>
          </w:p>
        </w:tc>
        <w:tc>
          <w:tcPr>
            <w:tcW w:w="1799" w:type="dxa"/>
            <w:vAlign w:val="bottom"/>
          </w:tcPr>
          <w:p w14:paraId="02B5D155"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w:t>
            </w:r>
          </w:p>
        </w:tc>
      </w:tr>
      <w:tr w:rsidR="007574FE" w:rsidRPr="008206DD" w14:paraId="53D8B56A" w14:textId="77777777" w:rsidTr="00221076">
        <w:tc>
          <w:tcPr>
            <w:tcW w:w="1940" w:type="dxa"/>
            <w:vMerge/>
          </w:tcPr>
          <w:p w14:paraId="0750A35B" w14:textId="77777777" w:rsidR="007574FE" w:rsidRPr="008206DD" w:rsidRDefault="007574FE" w:rsidP="00221076">
            <w:pPr>
              <w:rPr>
                <w:rFonts w:ascii="Arial" w:eastAsia="Calibri" w:hAnsi="Arial" w:cs="Arial"/>
                <w:sz w:val="20"/>
                <w:szCs w:val="20"/>
              </w:rPr>
            </w:pPr>
          </w:p>
        </w:tc>
        <w:tc>
          <w:tcPr>
            <w:tcW w:w="2581" w:type="dxa"/>
            <w:vMerge/>
          </w:tcPr>
          <w:p w14:paraId="3B978106"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3E3D880A"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RSD</w:t>
            </w:r>
          </w:p>
        </w:tc>
        <w:tc>
          <w:tcPr>
            <w:tcW w:w="1799" w:type="dxa"/>
            <w:vAlign w:val="bottom"/>
          </w:tcPr>
          <w:p w14:paraId="5998BEB3"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0</w:t>
            </w:r>
          </w:p>
        </w:tc>
      </w:tr>
      <w:tr w:rsidR="007574FE" w:rsidRPr="008206DD" w14:paraId="2ECD7759" w14:textId="77777777" w:rsidTr="00221076">
        <w:tc>
          <w:tcPr>
            <w:tcW w:w="1940" w:type="dxa"/>
            <w:vMerge/>
          </w:tcPr>
          <w:p w14:paraId="3BB47BEC" w14:textId="77777777" w:rsidR="007574FE" w:rsidRPr="008206DD" w:rsidRDefault="007574FE" w:rsidP="00221076">
            <w:pPr>
              <w:rPr>
                <w:rFonts w:ascii="Arial" w:eastAsia="Calibri" w:hAnsi="Arial" w:cs="Arial"/>
                <w:sz w:val="20"/>
                <w:szCs w:val="20"/>
              </w:rPr>
            </w:pPr>
          </w:p>
        </w:tc>
        <w:tc>
          <w:tcPr>
            <w:tcW w:w="2581" w:type="dxa"/>
            <w:vMerge/>
          </w:tcPr>
          <w:p w14:paraId="1602F377"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0A42D0D5"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 xml:space="preserve">SCONL </w:t>
            </w:r>
          </w:p>
        </w:tc>
        <w:tc>
          <w:tcPr>
            <w:tcW w:w="1799" w:type="dxa"/>
            <w:vAlign w:val="bottom"/>
          </w:tcPr>
          <w:p w14:paraId="4052427C"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13</w:t>
            </w:r>
          </w:p>
        </w:tc>
      </w:tr>
      <w:tr w:rsidR="007574FE" w:rsidRPr="008206DD" w14:paraId="0CEF341A" w14:textId="77777777" w:rsidTr="00221076">
        <w:tc>
          <w:tcPr>
            <w:tcW w:w="1940" w:type="dxa"/>
            <w:vMerge/>
          </w:tcPr>
          <w:p w14:paraId="1B68652E" w14:textId="77777777" w:rsidR="007574FE" w:rsidRPr="008206DD" w:rsidRDefault="007574FE" w:rsidP="00221076">
            <w:pPr>
              <w:rPr>
                <w:rFonts w:ascii="Arial" w:eastAsia="Calibri" w:hAnsi="Arial" w:cs="Arial"/>
                <w:sz w:val="20"/>
                <w:szCs w:val="20"/>
              </w:rPr>
            </w:pPr>
          </w:p>
        </w:tc>
        <w:tc>
          <w:tcPr>
            <w:tcW w:w="2581" w:type="dxa"/>
            <w:vMerge/>
          </w:tcPr>
          <w:p w14:paraId="0EFE5301" w14:textId="77777777" w:rsidR="007574FE" w:rsidRPr="008206DD" w:rsidRDefault="007574FE" w:rsidP="00221076">
            <w:pPr>
              <w:rPr>
                <w:rFonts w:ascii="Arial" w:eastAsia="Calibri" w:hAnsi="Arial" w:cs="Arial"/>
                <w:color w:val="000000"/>
                <w:sz w:val="20"/>
                <w:szCs w:val="20"/>
              </w:rPr>
            </w:pPr>
          </w:p>
        </w:tc>
        <w:tc>
          <w:tcPr>
            <w:tcW w:w="3030" w:type="dxa"/>
            <w:vAlign w:val="bottom"/>
          </w:tcPr>
          <w:p w14:paraId="4DC3172B"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CILIP</w:t>
            </w:r>
          </w:p>
        </w:tc>
        <w:tc>
          <w:tcPr>
            <w:tcW w:w="1799" w:type="dxa"/>
            <w:vAlign w:val="bottom"/>
          </w:tcPr>
          <w:p w14:paraId="505CA33D"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4</w:t>
            </w:r>
          </w:p>
        </w:tc>
      </w:tr>
      <w:tr w:rsidR="007574FE" w:rsidRPr="008206DD" w14:paraId="22F0E334" w14:textId="77777777" w:rsidTr="00221076">
        <w:tc>
          <w:tcPr>
            <w:tcW w:w="1940" w:type="dxa"/>
            <w:vMerge/>
          </w:tcPr>
          <w:p w14:paraId="4FAE9439" w14:textId="77777777" w:rsidR="007574FE" w:rsidRPr="008206DD" w:rsidRDefault="007574FE" w:rsidP="00221076">
            <w:pPr>
              <w:rPr>
                <w:rFonts w:ascii="Arial" w:eastAsia="Calibri" w:hAnsi="Arial" w:cs="Arial"/>
                <w:sz w:val="20"/>
                <w:szCs w:val="20"/>
              </w:rPr>
            </w:pPr>
          </w:p>
        </w:tc>
        <w:tc>
          <w:tcPr>
            <w:tcW w:w="2581" w:type="dxa"/>
            <w:vMerge/>
          </w:tcPr>
          <w:p w14:paraId="7779332F"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7FAD822A"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B</w:t>
            </w:r>
            <w:r>
              <w:rPr>
                <w:rFonts w:ascii="Arial" w:eastAsia="Calibri" w:hAnsi="Arial" w:cs="Arial"/>
                <w:color w:val="000000"/>
                <w:sz w:val="20"/>
                <w:szCs w:val="20"/>
              </w:rPr>
              <w:t>ig</w:t>
            </w:r>
            <w:r w:rsidRPr="008206DD">
              <w:rPr>
                <w:rFonts w:ascii="Arial" w:eastAsia="Calibri" w:hAnsi="Arial" w:cs="Arial"/>
                <w:color w:val="000000"/>
                <w:sz w:val="20"/>
                <w:szCs w:val="20"/>
              </w:rPr>
              <w:t>6</w:t>
            </w:r>
          </w:p>
        </w:tc>
        <w:tc>
          <w:tcPr>
            <w:tcW w:w="1799" w:type="dxa"/>
            <w:vAlign w:val="bottom"/>
          </w:tcPr>
          <w:p w14:paraId="3E677B45"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3</w:t>
            </w:r>
          </w:p>
        </w:tc>
      </w:tr>
      <w:tr w:rsidR="007574FE" w:rsidRPr="008206DD" w14:paraId="240D1EAC" w14:textId="77777777" w:rsidTr="00221076">
        <w:tc>
          <w:tcPr>
            <w:tcW w:w="1940" w:type="dxa"/>
            <w:vMerge/>
          </w:tcPr>
          <w:p w14:paraId="0E491344" w14:textId="77777777" w:rsidR="007574FE" w:rsidRPr="008206DD" w:rsidRDefault="007574FE" w:rsidP="00221076">
            <w:pPr>
              <w:rPr>
                <w:rFonts w:ascii="Arial" w:eastAsia="Calibri" w:hAnsi="Arial" w:cs="Arial"/>
                <w:sz w:val="20"/>
                <w:szCs w:val="20"/>
              </w:rPr>
            </w:pPr>
          </w:p>
        </w:tc>
        <w:tc>
          <w:tcPr>
            <w:tcW w:w="2581" w:type="dxa"/>
            <w:vMerge/>
          </w:tcPr>
          <w:p w14:paraId="2474D539"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3124A40E"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ANZIL</w:t>
            </w:r>
          </w:p>
        </w:tc>
        <w:tc>
          <w:tcPr>
            <w:tcW w:w="1799" w:type="dxa"/>
            <w:vAlign w:val="bottom"/>
          </w:tcPr>
          <w:p w14:paraId="65B67757"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5</w:t>
            </w:r>
          </w:p>
        </w:tc>
      </w:tr>
      <w:tr w:rsidR="007574FE" w:rsidRPr="008206DD" w14:paraId="5C8BA543" w14:textId="77777777" w:rsidTr="00221076">
        <w:tc>
          <w:tcPr>
            <w:tcW w:w="1940" w:type="dxa"/>
            <w:vMerge/>
          </w:tcPr>
          <w:p w14:paraId="265E6CB3" w14:textId="77777777" w:rsidR="007574FE" w:rsidRPr="008206DD" w:rsidRDefault="007574FE" w:rsidP="00221076">
            <w:pPr>
              <w:rPr>
                <w:rFonts w:ascii="Arial" w:eastAsia="Calibri" w:hAnsi="Arial" w:cs="Arial"/>
                <w:sz w:val="20"/>
                <w:szCs w:val="20"/>
              </w:rPr>
            </w:pPr>
          </w:p>
        </w:tc>
        <w:tc>
          <w:tcPr>
            <w:tcW w:w="2581" w:type="dxa"/>
            <w:vMerge/>
          </w:tcPr>
          <w:p w14:paraId="0F7CDC0F"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4412D46F"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ANCIL</w:t>
            </w:r>
          </w:p>
        </w:tc>
        <w:tc>
          <w:tcPr>
            <w:tcW w:w="1799" w:type="dxa"/>
            <w:vAlign w:val="bottom"/>
          </w:tcPr>
          <w:p w14:paraId="216C8DE1"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w:t>
            </w:r>
          </w:p>
        </w:tc>
      </w:tr>
      <w:tr w:rsidR="007574FE" w:rsidRPr="008206DD" w14:paraId="0F7B7282" w14:textId="77777777" w:rsidTr="00221076">
        <w:tc>
          <w:tcPr>
            <w:tcW w:w="1940" w:type="dxa"/>
            <w:vMerge/>
          </w:tcPr>
          <w:p w14:paraId="744FE1D7" w14:textId="77777777" w:rsidR="007574FE" w:rsidRPr="008206DD" w:rsidRDefault="007574FE" w:rsidP="00221076">
            <w:pPr>
              <w:rPr>
                <w:rFonts w:ascii="Arial" w:eastAsia="Calibri" w:hAnsi="Arial" w:cs="Arial"/>
                <w:sz w:val="20"/>
                <w:szCs w:val="20"/>
              </w:rPr>
            </w:pPr>
          </w:p>
        </w:tc>
        <w:tc>
          <w:tcPr>
            <w:tcW w:w="2581" w:type="dxa"/>
            <w:vMerge/>
          </w:tcPr>
          <w:p w14:paraId="3797E187"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58B3CB96"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ACRL Standards for Nursing</w:t>
            </w:r>
          </w:p>
        </w:tc>
        <w:tc>
          <w:tcPr>
            <w:tcW w:w="1799" w:type="dxa"/>
            <w:vAlign w:val="bottom"/>
          </w:tcPr>
          <w:p w14:paraId="049627A4"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9</w:t>
            </w:r>
          </w:p>
        </w:tc>
      </w:tr>
      <w:tr w:rsidR="007574FE" w:rsidRPr="008206DD" w14:paraId="20506568" w14:textId="77777777" w:rsidTr="00221076">
        <w:tc>
          <w:tcPr>
            <w:tcW w:w="1940" w:type="dxa"/>
            <w:vMerge/>
          </w:tcPr>
          <w:p w14:paraId="0DE493FC" w14:textId="77777777" w:rsidR="007574FE" w:rsidRPr="008206DD" w:rsidRDefault="007574FE" w:rsidP="00221076">
            <w:pPr>
              <w:rPr>
                <w:rFonts w:ascii="Arial" w:eastAsia="Calibri" w:hAnsi="Arial" w:cs="Arial"/>
                <w:sz w:val="20"/>
                <w:szCs w:val="20"/>
              </w:rPr>
            </w:pPr>
          </w:p>
        </w:tc>
        <w:tc>
          <w:tcPr>
            <w:tcW w:w="2581" w:type="dxa"/>
            <w:vMerge/>
          </w:tcPr>
          <w:p w14:paraId="150DEB37"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52054717"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ACRL Standards</w:t>
            </w:r>
          </w:p>
        </w:tc>
        <w:tc>
          <w:tcPr>
            <w:tcW w:w="1799" w:type="dxa"/>
            <w:vAlign w:val="bottom"/>
          </w:tcPr>
          <w:p w14:paraId="2F851A58"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29</w:t>
            </w:r>
          </w:p>
        </w:tc>
      </w:tr>
      <w:tr w:rsidR="007574FE" w:rsidRPr="008206DD" w14:paraId="090C729F" w14:textId="77777777" w:rsidTr="00221076">
        <w:tc>
          <w:tcPr>
            <w:tcW w:w="1940" w:type="dxa"/>
            <w:vMerge/>
          </w:tcPr>
          <w:p w14:paraId="474F0C8A" w14:textId="77777777" w:rsidR="007574FE" w:rsidRPr="008206DD" w:rsidRDefault="007574FE" w:rsidP="00221076">
            <w:pPr>
              <w:rPr>
                <w:rFonts w:ascii="Arial" w:eastAsia="Calibri" w:hAnsi="Arial" w:cs="Arial"/>
                <w:sz w:val="20"/>
                <w:szCs w:val="20"/>
              </w:rPr>
            </w:pPr>
          </w:p>
        </w:tc>
        <w:tc>
          <w:tcPr>
            <w:tcW w:w="2581" w:type="dxa"/>
            <w:vMerge/>
          </w:tcPr>
          <w:p w14:paraId="3EA0E818"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3DF4B204"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ACRL Framework</w:t>
            </w:r>
          </w:p>
        </w:tc>
        <w:tc>
          <w:tcPr>
            <w:tcW w:w="1799" w:type="dxa"/>
            <w:vAlign w:val="bottom"/>
          </w:tcPr>
          <w:p w14:paraId="6F5E205D"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20</w:t>
            </w:r>
          </w:p>
        </w:tc>
      </w:tr>
      <w:tr w:rsidR="007574FE" w:rsidRPr="008206DD" w14:paraId="3CBB7246" w14:textId="77777777" w:rsidTr="00221076">
        <w:tc>
          <w:tcPr>
            <w:tcW w:w="1940" w:type="dxa"/>
            <w:vMerge/>
          </w:tcPr>
          <w:p w14:paraId="3D95E15A" w14:textId="77777777" w:rsidR="007574FE" w:rsidRPr="008206DD" w:rsidRDefault="007574FE" w:rsidP="00221076">
            <w:pPr>
              <w:rPr>
                <w:rFonts w:ascii="Arial" w:eastAsia="Calibri" w:hAnsi="Arial" w:cs="Arial"/>
                <w:sz w:val="20"/>
                <w:szCs w:val="20"/>
              </w:rPr>
            </w:pPr>
          </w:p>
        </w:tc>
        <w:tc>
          <w:tcPr>
            <w:tcW w:w="2581" w:type="dxa"/>
            <w:vMerge/>
          </w:tcPr>
          <w:p w14:paraId="39F31E40"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3EDC4DF3"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other frameworks</w:t>
            </w:r>
          </w:p>
        </w:tc>
        <w:tc>
          <w:tcPr>
            <w:tcW w:w="1799" w:type="dxa"/>
            <w:vAlign w:val="bottom"/>
          </w:tcPr>
          <w:p w14:paraId="24A72ECF"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28</w:t>
            </w:r>
          </w:p>
        </w:tc>
      </w:tr>
      <w:tr w:rsidR="007574FE" w:rsidRPr="008206DD" w14:paraId="64316C90" w14:textId="77777777" w:rsidTr="00221076">
        <w:tc>
          <w:tcPr>
            <w:tcW w:w="1940" w:type="dxa"/>
            <w:vMerge w:val="restart"/>
            <w:shd w:val="clear" w:color="auto" w:fill="F2F2F2"/>
          </w:tcPr>
          <w:p w14:paraId="7E1BAE4F"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curriculum mapping</w:t>
            </w:r>
          </w:p>
        </w:tc>
        <w:tc>
          <w:tcPr>
            <w:tcW w:w="2581" w:type="dxa"/>
            <w:vMerge w:val="restart"/>
            <w:shd w:val="clear" w:color="auto" w:fill="F2F2F2"/>
          </w:tcPr>
          <w:p w14:paraId="06FB0676"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each article may be coded only once</w:t>
            </w:r>
          </w:p>
        </w:tc>
        <w:tc>
          <w:tcPr>
            <w:tcW w:w="3030" w:type="dxa"/>
            <w:shd w:val="clear" w:color="auto" w:fill="F2F2F2"/>
            <w:vAlign w:val="center"/>
          </w:tcPr>
          <w:p w14:paraId="673396C9"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has curriculum map</w:t>
            </w:r>
          </w:p>
        </w:tc>
        <w:tc>
          <w:tcPr>
            <w:tcW w:w="1799" w:type="dxa"/>
            <w:shd w:val="clear" w:color="auto" w:fill="F2F2F2"/>
          </w:tcPr>
          <w:p w14:paraId="412C8685"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24</w:t>
            </w:r>
          </w:p>
        </w:tc>
      </w:tr>
      <w:tr w:rsidR="007574FE" w:rsidRPr="008206DD" w14:paraId="35FA4403" w14:textId="77777777" w:rsidTr="00221076">
        <w:tc>
          <w:tcPr>
            <w:tcW w:w="1940" w:type="dxa"/>
            <w:vMerge/>
            <w:shd w:val="clear" w:color="auto" w:fill="F2F2F2"/>
          </w:tcPr>
          <w:p w14:paraId="571EBEC1" w14:textId="77777777" w:rsidR="007574FE" w:rsidRPr="008206DD" w:rsidRDefault="007574FE" w:rsidP="00221076">
            <w:pPr>
              <w:rPr>
                <w:rFonts w:ascii="Arial" w:eastAsia="Calibri" w:hAnsi="Arial" w:cs="Arial"/>
                <w:sz w:val="20"/>
                <w:szCs w:val="20"/>
              </w:rPr>
            </w:pPr>
          </w:p>
        </w:tc>
        <w:tc>
          <w:tcPr>
            <w:tcW w:w="2581" w:type="dxa"/>
            <w:vMerge/>
            <w:shd w:val="clear" w:color="auto" w:fill="F2F2F2"/>
          </w:tcPr>
          <w:p w14:paraId="5188E846"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0C43B06E"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does not have curriculum map</w:t>
            </w:r>
          </w:p>
        </w:tc>
        <w:tc>
          <w:tcPr>
            <w:tcW w:w="1799" w:type="dxa"/>
            <w:shd w:val="clear" w:color="auto" w:fill="F2F2F2"/>
          </w:tcPr>
          <w:p w14:paraId="1BD42E20"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103</w:t>
            </w:r>
          </w:p>
        </w:tc>
      </w:tr>
      <w:tr w:rsidR="007574FE" w:rsidRPr="008206DD" w14:paraId="0E283876" w14:textId="77777777" w:rsidTr="00221076">
        <w:tc>
          <w:tcPr>
            <w:tcW w:w="1940" w:type="dxa"/>
            <w:vMerge w:val="restart"/>
          </w:tcPr>
          <w:p w14:paraId="5D0FFE61"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curriculum map contents</w:t>
            </w:r>
          </w:p>
        </w:tc>
        <w:tc>
          <w:tcPr>
            <w:tcW w:w="2581" w:type="dxa"/>
            <w:vMerge w:val="restart"/>
          </w:tcPr>
          <w:p w14:paraId="499EC088"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each article can be coded multiple times</w:t>
            </w:r>
          </w:p>
        </w:tc>
        <w:tc>
          <w:tcPr>
            <w:tcW w:w="3030" w:type="dxa"/>
            <w:vAlign w:val="center"/>
          </w:tcPr>
          <w:p w14:paraId="6A4CED75"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ACRL Standards</w:t>
            </w:r>
          </w:p>
        </w:tc>
        <w:tc>
          <w:tcPr>
            <w:tcW w:w="1799" w:type="dxa"/>
          </w:tcPr>
          <w:p w14:paraId="243E895B"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16</w:t>
            </w:r>
          </w:p>
        </w:tc>
      </w:tr>
      <w:tr w:rsidR="007574FE" w:rsidRPr="008206DD" w14:paraId="1704F0BA" w14:textId="77777777" w:rsidTr="00221076">
        <w:tc>
          <w:tcPr>
            <w:tcW w:w="1940" w:type="dxa"/>
            <w:vMerge/>
          </w:tcPr>
          <w:p w14:paraId="380AB686" w14:textId="77777777" w:rsidR="007574FE" w:rsidRPr="008206DD" w:rsidRDefault="007574FE" w:rsidP="00221076">
            <w:pPr>
              <w:rPr>
                <w:rFonts w:ascii="Arial" w:eastAsia="Calibri" w:hAnsi="Arial" w:cs="Arial"/>
                <w:sz w:val="20"/>
                <w:szCs w:val="20"/>
              </w:rPr>
            </w:pPr>
          </w:p>
        </w:tc>
        <w:tc>
          <w:tcPr>
            <w:tcW w:w="2581" w:type="dxa"/>
            <w:vMerge/>
          </w:tcPr>
          <w:p w14:paraId="0E08FA3D"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0974BB8C"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ACRL HSIG</w:t>
            </w:r>
          </w:p>
        </w:tc>
        <w:tc>
          <w:tcPr>
            <w:tcW w:w="1799" w:type="dxa"/>
          </w:tcPr>
          <w:p w14:paraId="5E4BA4FA"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w:t>
            </w:r>
          </w:p>
        </w:tc>
      </w:tr>
      <w:tr w:rsidR="007574FE" w:rsidRPr="008206DD" w14:paraId="20FDD567" w14:textId="77777777" w:rsidTr="00221076">
        <w:tc>
          <w:tcPr>
            <w:tcW w:w="1940" w:type="dxa"/>
            <w:vMerge/>
          </w:tcPr>
          <w:p w14:paraId="3393C43F" w14:textId="77777777" w:rsidR="007574FE" w:rsidRPr="008206DD" w:rsidRDefault="007574FE" w:rsidP="00221076">
            <w:pPr>
              <w:rPr>
                <w:rFonts w:ascii="Arial" w:eastAsia="Calibri" w:hAnsi="Arial" w:cs="Arial"/>
                <w:sz w:val="20"/>
                <w:szCs w:val="20"/>
              </w:rPr>
            </w:pPr>
          </w:p>
        </w:tc>
        <w:tc>
          <w:tcPr>
            <w:tcW w:w="2581" w:type="dxa"/>
            <w:vMerge/>
          </w:tcPr>
          <w:p w14:paraId="46DC72F6"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12332B8D"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ACRL Framework</w:t>
            </w:r>
          </w:p>
        </w:tc>
        <w:tc>
          <w:tcPr>
            <w:tcW w:w="1799" w:type="dxa"/>
          </w:tcPr>
          <w:p w14:paraId="501A6E14"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4</w:t>
            </w:r>
          </w:p>
        </w:tc>
      </w:tr>
      <w:tr w:rsidR="007574FE" w:rsidRPr="008206DD" w14:paraId="2D547925" w14:textId="77777777" w:rsidTr="00221076">
        <w:tc>
          <w:tcPr>
            <w:tcW w:w="1940" w:type="dxa"/>
            <w:vMerge/>
          </w:tcPr>
          <w:p w14:paraId="44F0859E" w14:textId="77777777" w:rsidR="007574FE" w:rsidRPr="008206DD" w:rsidRDefault="007574FE" w:rsidP="00221076">
            <w:pPr>
              <w:rPr>
                <w:rFonts w:ascii="Arial" w:eastAsia="Calibri" w:hAnsi="Arial" w:cs="Arial"/>
                <w:sz w:val="20"/>
                <w:szCs w:val="20"/>
              </w:rPr>
            </w:pPr>
          </w:p>
        </w:tc>
        <w:tc>
          <w:tcPr>
            <w:tcW w:w="2581" w:type="dxa"/>
            <w:vMerge/>
          </w:tcPr>
          <w:p w14:paraId="5A42D6E3"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513AB029"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EBP/M/N</w:t>
            </w:r>
          </w:p>
        </w:tc>
        <w:tc>
          <w:tcPr>
            <w:tcW w:w="1799" w:type="dxa"/>
          </w:tcPr>
          <w:p w14:paraId="5384EBBC"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6</w:t>
            </w:r>
          </w:p>
        </w:tc>
      </w:tr>
      <w:tr w:rsidR="007574FE" w:rsidRPr="008206DD" w14:paraId="7235126D" w14:textId="77777777" w:rsidTr="00221076">
        <w:tc>
          <w:tcPr>
            <w:tcW w:w="1940" w:type="dxa"/>
            <w:vMerge/>
          </w:tcPr>
          <w:p w14:paraId="1CB83EDC" w14:textId="77777777" w:rsidR="007574FE" w:rsidRPr="008206DD" w:rsidRDefault="007574FE" w:rsidP="00221076">
            <w:pPr>
              <w:rPr>
                <w:rFonts w:ascii="Arial" w:eastAsia="Calibri" w:hAnsi="Arial" w:cs="Arial"/>
                <w:sz w:val="20"/>
                <w:szCs w:val="20"/>
              </w:rPr>
            </w:pPr>
          </w:p>
        </w:tc>
        <w:tc>
          <w:tcPr>
            <w:tcW w:w="2581" w:type="dxa"/>
            <w:vMerge/>
          </w:tcPr>
          <w:p w14:paraId="63503D29"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1847336D"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SCONUL</w:t>
            </w:r>
          </w:p>
        </w:tc>
        <w:tc>
          <w:tcPr>
            <w:tcW w:w="1799" w:type="dxa"/>
          </w:tcPr>
          <w:p w14:paraId="7E8C94CA"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w:t>
            </w:r>
          </w:p>
        </w:tc>
      </w:tr>
      <w:tr w:rsidR="007574FE" w:rsidRPr="008206DD" w14:paraId="7CCA654A" w14:textId="77777777" w:rsidTr="00221076">
        <w:tc>
          <w:tcPr>
            <w:tcW w:w="1940" w:type="dxa"/>
            <w:vMerge/>
          </w:tcPr>
          <w:p w14:paraId="7910C1FA" w14:textId="77777777" w:rsidR="007574FE" w:rsidRPr="008206DD" w:rsidRDefault="007574FE" w:rsidP="00221076">
            <w:pPr>
              <w:rPr>
                <w:rFonts w:ascii="Arial" w:eastAsia="Calibri" w:hAnsi="Arial" w:cs="Arial"/>
                <w:sz w:val="20"/>
                <w:szCs w:val="20"/>
              </w:rPr>
            </w:pPr>
          </w:p>
        </w:tc>
        <w:tc>
          <w:tcPr>
            <w:tcW w:w="2581" w:type="dxa"/>
            <w:vMerge/>
          </w:tcPr>
          <w:p w14:paraId="12EE80B2"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62CBDD4A"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ANZIL</w:t>
            </w:r>
          </w:p>
        </w:tc>
        <w:tc>
          <w:tcPr>
            <w:tcW w:w="1799" w:type="dxa"/>
          </w:tcPr>
          <w:p w14:paraId="41F55BAA"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w:t>
            </w:r>
          </w:p>
        </w:tc>
      </w:tr>
      <w:tr w:rsidR="007574FE" w:rsidRPr="008206DD" w14:paraId="05600B95" w14:textId="77777777" w:rsidTr="00221076">
        <w:tc>
          <w:tcPr>
            <w:tcW w:w="1940" w:type="dxa"/>
            <w:vMerge/>
          </w:tcPr>
          <w:p w14:paraId="7B9CD498" w14:textId="77777777" w:rsidR="007574FE" w:rsidRPr="008206DD" w:rsidRDefault="007574FE" w:rsidP="00221076">
            <w:pPr>
              <w:rPr>
                <w:rFonts w:ascii="Arial" w:eastAsia="Calibri" w:hAnsi="Arial" w:cs="Arial"/>
                <w:sz w:val="20"/>
                <w:szCs w:val="20"/>
              </w:rPr>
            </w:pPr>
          </w:p>
        </w:tc>
        <w:tc>
          <w:tcPr>
            <w:tcW w:w="2581" w:type="dxa"/>
            <w:vMerge/>
          </w:tcPr>
          <w:p w14:paraId="4A94D037"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4A04B7B4"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other framework</w:t>
            </w:r>
          </w:p>
        </w:tc>
        <w:tc>
          <w:tcPr>
            <w:tcW w:w="1799" w:type="dxa"/>
          </w:tcPr>
          <w:p w14:paraId="3208598C"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1</w:t>
            </w:r>
          </w:p>
        </w:tc>
      </w:tr>
      <w:tr w:rsidR="007574FE" w:rsidRPr="008206DD" w14:paraId="101CB313" w14:textId="77777777" w:rsidTr="00221076">
        <w:tc>
          <w:tcPr>
            <w:tcW w:w="1940" w:type="dxa"/>
            <w:vMerge/>
          </w:tcPr>
          <w:p w14:paraId="50A8FDB0" w14:textId="77777777" w:rsidR="007574FE" w:rsidRPr="008206DD" w:rsidRDefault="007574FE" w:rsidP="00221076">
            <w:pPr>
              <w:rPr>
                <w:rFonts w:ascii="Arial" w:eastAsia="Calibri" w:hAnsi="Arial" w:cs="Arial"/>
                <w:sz w:val="20"/>
                <w:szCs w:val="20"/>
              </w:rPr>
            </w:pPr>
          </w:p>
        </w:tc>
        <w:tc>
          <w:tcPr>
            <w:tcW w:w="2581" w:type="dxa"/>
            <w:vMerge/>
          </w:tcPr>
          <w:p w14:paraId="7E19295E" w14:textId="77777777" w:rsidR="007574FE" w:rsidRPr="008206DD" w:rsidRDefault="007574FE" w:rsidP="00221076">
            <w:pPr>
              <w:rPr>
                <w:rFonts w:ascii="Arial" w:eastAsia="Calibri" w:hAnsi="Arial" w:cs="Arial"/>
                <w:color w:val="000000"/>
                <w:sz w:val="20"/>
                <w:szCs w:val="20"/>
              </w:rPr>
            </w:pPr>
          </w:p>
        </w:tc>
        <w:tc>
          <w:tcPr>
            <w:tcW w:w="3030" w:type="dxa"/>
            <w:vAlign w:val="center"/>
          </w:tcPr>
          <w:p w14:paraId="2654F296"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instructional element</w:t>
            </w:r>
          </w:p>
        </w:tc>
        <w:tc>
          <w:tcPr>
            <w:tcW w:w="1799" w:type="dxa"/>
          </w:tcPr>
          <w:p w14:paraId="23EB2CA6"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20</w:t>
            </w:r>
          </w:p>
        </w:tc>
      </w:tr>
      <w:tr w:rsidR="007574FE" w:rsidRPr="008206DD" w14:paraId="027DD799" w14:textId="77777777" w:rsidTr="00221076">
        <w:tc>
          <w:tcPr>
            <w:tcW w:w="1940" w:type="dxa"/>
            <w:vMerge w:val="restart"/>
            <w:shd w:val="clear" w:color="auto" w:fill="F2F2F2"/>
          </w:tcPr>
          <w:p w14:paraId="380EA06B" w14:textId="77777777" w:rsidR="007574FE" w:rsidRPr="008206DD" w:rsidRDefault="007574FE" w:rsidP="00221076">
            <w:pPr>
              <w:rPr>
                <w:rFonts w:ascii="Arial" w:eastAsia="Calibri" w:hAnsi="Arial" w:cs="Arial"/>
                <w:sz w:val="20"/>
                <w:szCs w:val="20"/>
              </w:rPr>
            </w:pPr>
            <w:r w:rsidRPr="008206DD">
              <w:rPr>
                <w:rFonts w:ascii="Arial" w:eastAsia="Calibri" w:hAnsi="Arial" w:cs="Arial"/>
                <w:sz w:val="20"/>
                <w:szCs w:val="20"/>
              </w:rPr>
              <w:t>IL concepts and skills</w:t>
            </w:r>
          </w:p>
        </w:tc>
        <w:tc>
          <w:tcPr>
            <w:tcW w:w="2581" w:type="dxa"/>
            <w:vMerge w:val="restart"/>
            <w:shd w:val="clear" w:color="auto" w:fill="F2F2F2"/>
          </w:tcPr>
          <w:p w14:paraId="242CEB69"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each article can be coded multiple times</w:t>
            </w:r>
          </w:p>
        </w:tc>
        <w:tc>
          <w:tcPr>
            <w:tcW w:w="3030" w:type="dxa"/>
            <w:shd w:val="clear" w:color="auto" w:fill="F2F2F2"/>
            <w:vAlign w:val="center"/>
          </w:tcPr>
          <w:p w14:paraId="6A4FDA02"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 xml:space="preserve">research organization </w:t>
            </w:r>
          </w:p>
          <w:p w14:paraId="146B67C7" w14:textId="77777777" w:rsidR="007574FE" w:rsidRPr="008206DD" w:rsidRDefault="007574FE" w:rsidP="00221076">
            <w:pPr>
              <w:rPr>
                <w:rFonts w:ascii="Arial" w:eastAsia="Calibri" w:hAnsi="Arial" w:cs="Arial"/>
                <w:color w:val="000000"/>
                <w:sz w:val="20"/>
                <w:szCs w:val="20"/>
              </w:rPr>
            </w:pPr>
          </w:p>
          <w:p w14:paraId="77790A17"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(concepts and skills coded here: research conceptualization; clinical question; citation managers; research process documentation)</w:t>
            </w:r>
          </w:p>
        </w:tc>
        <w:tc>
          <w:tcPr>
            <w:tcW w:w="1799" w:type="dxa"/>
            <w:shd w:val="clear" w:color="auto" w:fill="F2F2F2"/>
            <w:vAlign w:val="bottom"/>
          </w:tcPr>
          <w:p w14:paraId="79851B86"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81</w:t>
            </w:r>
          </w:p>
        </w:tc>
      </w:tr>
      <w:tr w:rsidR="007574FE" w:rsidRPr="008206DD" w14:paraId="50C945E2" w14:textId="77777777" w:rsidTr="00221076">
        <w:tc>
          <w:tcPr>
            <w:tcW w:w="1940" w:type="dxa"/>
            <w:vMerge/>
            <w:shd w:val="clear" w:color="auto" w:fill="F2F2F2"/>
          </w:tcPr>
          <w:p w14:paraId="30C4BC0F" w14:textId="77777777" w:rsidR="007574FE" w:rsidRPr="008206DD" w:rsidRDefault="007574FE" w:rsidP="00221076">
            <w:pPr>
              <w:rPr>
                <w:rFonts w:ascii="Arial" w:eastAsia="Calibri" w:hAnsi="Arial" w:cs="Arial"/>
                <w:b/>
                <w:bCs/>
                <w:sz w:val="20"/>
                <w:szCs w:val="20"/>
              </w:rPr>
            </w:pPr>
          </w:p>
        </w:tc>
        <w:tc>
          <w:tcPr>
            <w:tcW w:w="2581" w:type="dxa"/>
            <w:vMerge/>
            <w:shd w:val="clear" w:color="auto" w:fill="F2F2F2"/>
          </w:tcPr>
          <w:p w14:paraId="066F5D21"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79545EA7"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search syntax</w:t>
            </w:r>
          </w:p>
          <w:p w14:paraId="34C01831" w14:textId="77777777" w:rsidR="007574FE" w:rsidRPr="008206DD" w:rsidRDefault="007574FE" w:rsidP="00221076">
            <w:pPr>
              <w:rPr>
                <w:rFonts w:ascii="Arial" w:eastAsia="Calibri" w:hAnsi="Arial" w:cs="Arial"/>
                <w:color w:val="000000"/>
                <w:sz w:val="20"/>
                <w:szCs w:val="20"/>
              </w:rPr>
            </w:pPr>
          </w:p>
          <w:p w14:paraId="486CDC74"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(concepts and skills coded here: search terms; term modifiers; Boolean operators; proximity; fields)</w:t>
            </w:r>
          </w:p>
        </w:tc>
        <w:tc>
          <w:tcPr>
            <w:tcW w:w="1799" w:type="dxa"/>
            <w:shd w:val="clear" w:color="auto" w:fill="F2F2F2"/>
            <w:vAlign w:val="bottom"/>
          </w:tcPr>
          <w:p w14:paraId="13522104"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lastRenderedPageBreak/>
              <w:t>75</w:t>
            </w:r>
          </w:p>
        </w:tc>
      </w:tr>
      <w:tr w:rsidR="007574FE" w:rsidRPr="008206DD" w14:paraId="5E8DD67C" w14:textId="77777777" w:rsidTr="00221076">
        <w:tc>
          <w:tcPr>
            <w:tcW w:w="1940" w:type="dxa"/>
            <w:vMerge/>
            <w:shd w:val="clear" w:color="auto" w:fill="F2F2F2"/>
          </w:tcPr>
          <w:p w14:paraId="548AC81E" w14:textId="77777777" w:rsidR="007574FE" w:rsidRPr="008206DD" w:rsidRDefault="007574FE" w:rsidP="00221076">
            <w:pPr>
              <w:rPr>
                <w:rFonts w:ascii="Arial" w:eastAsia="Calibri" w:hAnsi="Arial" w:cs="Arial"/>
                <w:b/>
                <w:bCs/>
                <w:sz w:val="20"/>
                <w:szCs w:val="20"/>
              </w:rPr>
            </w:pPr>
          </w:p>
        </w:tc>
        <w:tc>
          <w:tcPr>
            <w:tcW w:w="2581" w:type="dxa"/>
            <w:vMerge/>
            <w:shd w:val="clear" w:color="auto" w:fill="F2F2F2"/>
          </w:tcPr>
          <w:p w14:paraId="6B2BF8A5"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10EEB24D"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information architecture</w:t>
            </w:r>
          </w:p>
          <w:p w14:paraId="303AFE3A" w14:textId="77777777" w:rsidR="007574FE" w:rsidRPr="008206DD" w:rsidRDefault="007574FE" w:rsidP="00221076">
            <w:pPr>
              <w:rPr>
                <w:rFonts w:ascii="Arial" w:eastAsia="Calibri" w:hAnsi="Arial" w:cs="Arial"/>
                <w:color w:val="000000"/>
                <w:sz w:val="20"/>
                <w:szCs w:val="20"/>
              </w:rPr>
            </w:pPr>
          </w:p>
          <w:p w14:paraId="6237D122"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(concepts and skills coded here: database navigation; citation mining; controlled vocabularies; relevancy; algorithms; digital divide; subscriptions)</w:t>
            </w:r>
          </w:p>
        </w:tc>
        <w:tc>
          <w:tcPr>
            <w:tcW w:w="1799" w:type="dxa"/>
            <w:shd w:val="clear" w:color="auto" w:fill="F2F2F2"/>
            <w:vAlign w:val="bottom"/>
          </w:tcPr>
          <w:p w14:paraId="125EEBEE"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67</w:t>
            </w:r>
          </w:p>
        </w:tc>
      </w:tr>
      <w:tr w:rsidR="007574FE" w:rsidRPr="008206DD" w14:paraId="3144421F" w14:textId="77777777" w:rsidTr="00221076">
        <w:tc>
          <w:tcPr>
            <w:tcW w:w="1940" w:type="dxa"/>
            <w:vMerge/>
            <w:shd w:val="clear" w:color="auto" w:fill="F2F2F2"/>
          </w:tcPr>
          <w:p w14:paraId="026A48C3" w14:textId="77777777" w:rsidR="007574FE" w:rsidRPr="008206DD" w:rsidRDefault="007574FE" w:rsidP="00221076">
            <w:pPr>
              <w:rPr>
                <w:rFonts w:ascii="Arial" w:eastAsia="Calibri" w:hAnsi="Arial" w:cs="Arial"/>
                <w:b/>
                <w:bCs/>
                <w:sz w:val="20"/>
                <w:szCs w:val="20"/>
              </w:rPr>
            </w:pPr>
          </w:p>
        </w:tc>
        <w:tc>
          <w:tcPr>
            <w:tcW w:w="2581" w:type="dxa"/>
            <w:vMerge/>
            <w:shd w:val="clear" w:color="auto" w:fill="F2F2F2"/>
          </w:tcPr>
          <w:p w14:paraId="42762207"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4904416F"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information equity</w:t>
            </w:r>
          </w:p>
          <w:p w14:paraId="434F1677" w14:textId="77777777" w:rsidR="007574FE" w:rsidRPr="008206DD" w:rsidRDefault="007574FE" w:rsidP="00221076">
            <w:pPr>
              <w:rPr>
                <w:rFonts w:ascii="Arial" w:eastAsia="Calibri" w:hAnsi="Arial" w:cs="Arial"/>
                <w:color w:val="000000"/>
                <w:sz w:val="20"/>
                <w:szCs w:val="20"/>
              </w:rPr>
            </w:pPr>
          </w:p>
          <w:p w14:paraId="4C1DB696"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(concepts and skills coded here: access; ethical reuse)</w:t>
            </w:r>
          </w:p>
        </w:tc>
        <w:tc>
          <w:tcPr>
            <w:tcW w:w="1799" w:type="dxa"/>
            <w:shd w:val="clear" w:color="auto" w:fill="F2F2F2"/>
            <w:vAlign w:val="bottom"/>
          </w:tcPr>
          <w:p w14:paraId="2AF26CCA"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22</w:t>
            </w:r>
          </w:p>
        </w:tc>
      </w:tr>
      <w:tr w:rsidR="007574FE" w:rsidRPr="008206DD" w14:paraId="00AEF6D9" w14:textId="77777777" w:rsidTr="00221076">
        <w:tc>
          <w:tcPr>
            <w:tcW w:w="1940" w:type="dxa"/>
            <w:vMerge/>
            <w:shd w:val="clear" w:color="auto" w:fill="F2F2F2"/>
          </w:tcPr>
          <w:p w14:paraId="22A976B5" w14:textId="77777777" w:rsidR="007574FE" w:rsidRPr="008206DD" w:rsidRDefault="007574FE" w:rsidP="00221076">
            <w:pPr>
              <w:rPr>
                <w:rFonts w:ascii="Arial" w:eastAsia="Calibri" w:hAnsi="Arial" w:cs="Arial"/>
                <w:b/>
                <w:bCs/>
                <w:sz w:val="20"/>
                <w:szCs w:val="20"/>
              </w:rPr>
            </w:pPr>
          </w:p>
        </w:tc>
        <w:tc>
          <w:tcPr>
            <w:tcW w:w="2581" w:type="dxa"/>
            <w:vMerge/>
            <w:shd w:val="clear" w:color="auto" w:fill="F2F2F2"/>
          </w:tcPr>
          <w:p w14:paraId="5A3BB041"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3EE597C9"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scholarly communications</w:t>
            </w:r>
          </w:p>
          <w:p w14:paraId="08FCE2A0" w14:textId="77777777" w:rsidR="007574FE" w:rsidRPr="008206DD" w:rsidRDefault="007574FE" w:rsidP="00221076">
            <w:pPr>
              <w:rPr>
                <w:rFonts w:ascii="Arial" w:eastAsia="Calibri" w:hAnsi="Arial" w:cs="Arial"/>
                <w:color w:val="000000"/>
                <w:sz w:val="20"/>
                <w:szCs w:val="20"/>
              </w:rPr>
            </w:pPr>
          </w:p>
          <w:p w14:paraId="688EB71D"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(concepts and skills coded here: types of evidence; quality of evidence; credibility of evidence; evidence-based practice; metrics; altmetrics; legal licensing; publication process)</w:t>
            </w:r>
          </w:p>
        </w:tc>
        <w:tc>
          <w:tcPr>
            <w:tcW w:w="1799" w:type="dxa"/>
            <w:shd w:val="clear" w:color="auto" w:fill="F2F2F2"/>
            <w:vAlign w:val="bottom"/>
          </w:tcPr>
          <w:p w14:paraId="4613CD12"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73</w:t>
            </w:r>
          </w:p>
        </w:tc>
      </w:tr>
      <w:tr w:rsidR="007574FE" w:rsidRPr="008206DD" w14:paraId="5ADEA119" w14:textId="77777777" w:rsidTr="00221076">
        <w:tc>
          <w:tcPr>
            <w:tcW w:w="1940" w:type="dxa"/>
            <w:vMerge/>
            <w:shd w:val="clear" w:color="auto" w:fill="F2F2F2"/>
          </w:tcPr>
          <w:p w14:paraId="53408500" w14:textId="77777777" w:rsidR="007574FE" w:rsidRPr="008206DD" w:rsidRDefault="007574FE" w:rsidP="00221076">
            <w:pPr>
              <w:rPr>
                <w:rFonts w:ascii="Arial" w:eastAsia="Calibri" w:hAnsi="Arial" w:cs="Arial"/>
                <w:b/>
                <w:bCs/>
                <w:sz w:val="20"/>
                <w:szCs w:val="20"/>
              </w:rPr>
            </w:pPr>
          </w:p>
        </w:tc>
        <w:tc>
          <w:tcPr>
            <w:tcW w:w="2581" w:type="dxa"/>
            <w:vMerge/>
            <w:shd w:val="clear" w:color="auto" w:fill="F2F2F2"/>
          </w:tcPr>
          <w:p w14:paraId="6D3B243E"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10EA62A0"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integrating evidence</w:t>
            </w:r>
          </w:p>
        </w:tc>
        <w:tc>
          <w:tcPr>
            <w:tcW w:w="1799" w:type="dxa"/>
            <w:shd w:val="clear" w:color="auto" w:fill="F2F2F2"/>
            <w:vAlign w:val="bottom"/>
          </w:tcPr>
          <w:p w14:paraId="0AD65099"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4</w:t>
            </w:r>
          </w:p>
        </w:tc>
      </w:tr>
      <w:tr w:rsidR="007574FE" w:rsidRPr="008206DD" w14:paraId="71A938F7" w14:textId="77777777" w:rsidTr="00221076">
        <w:tc>
          <w:tcPr>
            <w:tcW w:w="1940" w:type="dxa"/>
            <w:vMerge/>
            <w:shd w:val="clear" w:color="auto" w:fill="F2F2F2"/>
          </w:tcPr>
          <w:p w14:paraId="29D719AB" w14:textId="77777777" w:rsidR="007574FE" w:rsidRPr="008206DD" w:rsidRDefault="007574FE" w:rsidP="00221076">
            <w:pPr>
              <w:rPr>
                <w:rFonts w:ascii="Arial" w:eastAsia="Calibri" w:hAnsi="Arial" w:cs="Arial"/>
                <w:b/>
                <w:bCs/>
                <w:sz w:val="20"/>
                <w:szCs w:val="20"/>
              </w:rPr>
            </w:pPr>
          </w:p>
        </w:tc>
        <w:tc>
          <w:tcPr>
            <w:tcW w:w="2581" w:type="dxa"/>
            <w:vMerge/>
            <w:shd w:val="clear" w:color="auto" w:fill="F2F2F2"/>
          </w:tcPr>
          <w:p w14:paraId="3C0089F1" w14:textId="77777777" w:rsidR="007574FE" w:rsidRPr="008206DD" w:rsidRDefault="007574FE" w:rsidP="00221076">
            <w:pPr>
              <w:rPr>
                <w:rFonts w:ascii="Arial" w:eastAsia="Calibri" w:hAnsi="Arial" w:cs="Arial"/>
                <w:color w:val="000000"/>
                <w:sz w:val="20"/>
                <w:szCs w:val="20"/>
              </w:rPr>
            </w:pPr>
          </w:p>
        </w:tc>
        <w:tc>
          <w:tcPr>
            <w:tcW w:w="3030" w:type="dxa"/>
            <w:shd w:val="clear" w:color="auto" w:fill="F2F2F2"/>
            <w:vAlign w:val="center"/>
          </w:tcPr>
          <w:p w14:paraId="7BB8ADB3"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 xml:space="preserve">other </w:t>
            </w:r>
          </w:p>
        </w:tc>
        <w:tc>
          <w:tcPr>
            <w:tcW w:w="1799" w:type="dxa"/>
            <w:shd w:val="clear" w:color="auto" w:fill="F2F2F2"/>
            <w:vAlign w:val="bottom"/>
          </w:tcPr>
          <w:p w14:paraId="76ECB358" w14:textId="77777777" w:rsidR="007574FE" w:rsidRPr="008206DD" w:rsidRDefault="007574FE" w:rsidP="00221076">
            <w:pPr>
              <w:rPr>
                <w:rFonts w:ascii="Arial" w:eastAsia="Calibri" w:hAnsi="Arial" w:cs="Arial"/>
                <w:color w:val="000000"/>
                <w:sz w:val="20"/>
                <w:szCs w:val="20"/>
              </w:rPr>
            </w:pPr>
            <w:r w:rsidRPr="008206DD">
              <w:rPr>
                <w:rFonts w:ascii="Arial" w:eastAsia="Calibri" w:hAnsi="Arial" w:cs="Arial"/>
                <w:color w:val="000000"/>
                <w:sz w:val="20"/>
                <w:szCs w:val="20"/>
              </w:rPr>
              <w:t>23</w:t>
            </w:r>
          </w:p>
        </w:tc>
      </w:tr>
    </w:tbl>
    <w:p w14:paraId="03FB61A2" w14:textId="77777777" w:rsidR="007574FE" w:rsidRDefault="007574FE" w:rsidP="007574FE">
      <w:r>
        <w:t xml:space="preserve">Abbreviations: AAMC: American Association of Medical Colleges; ACRL: Association of College and Research Libraries; ANCIL: </w:t>
      </w:r>
      <w:r w:rsidRPr="00354BE0">
        <w:t>A New Curriculum for Information Literacy</w:t>
      </w:r>
      <w:r>
        <w:t xml:space="preserve">; ANZIL: </w:t>
      </w:r>
      <w:r w:rsidRPr="00354BE0">
        <w:t>Australian and New Zealand Information Literacy Framework</w:t>
      </w:r>
      <w:r>
        <w:t>; CILIP: Chartered Institute of Library and Information Professionals; EBP/M/N: Evidence-based Practice/Medicine/Nursing; HSIG: Health Sciences Information Group; LCME: Liaison Committee on Medical Education; SCONUL: Society of College, National, and University Libraries; RSD: Research Skill Development Framework</w:t>
      </w:r>
    </w:p>
    <w:p w14:paraId="01FCAF6A" w14:textId="24FE3E94" w:rsidR="000B5540" w:rsidRDefault="000B5540" w:rsidP="00AB2BC5">
      <w:pPr>
        <w:keepNext/>
        <w:keepLines/>
        <w:pBdr>
          <w:top w:val="nil"/>
          <w:left w:val="nil"/>
          <w:bottom w:val="nil"/>
          <w:right w:val="nil"/>
          <w:between w:val="nil"/>
        </w:pBdr>
        <w:spacing w:after="200" w:line="240" w:lineRule="auto"/>
        <w:rPr>
          <w:color w:val="000000"/>
        </w:rPr>
      </w:pPr>
    </w:p>
    <w:sectPr w:rsidR="000B5540" w:rsidSect="00AE0CC0">
      <w:headerReference w:type="even" r:id="rId81"/>
      <w:headerReference w:type="default" r:id="rId82"/>
      <w:footerReference w:type="even" r:id="rId83"/>
      <w:footerReference w:type="default" r:id="rId84"/>
      <w:headerReference w:type="first" r:id="rId85"/>
      <w:footerReference w:type="first" r:id="rId86"/>
      <w:pgSz w:w="11900" w:h="16840"/>
      <w:pgMar w:top="1134" w:right="1418" w:bottom="1814" w:left="1134" w:header="850" w:footer="907" w:gutter="0"/>
      <w:pgNumType w:start="6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827E1" w14:textId="77777777" w:rsidR="009144F1" w:rsidRDefault="009144F1">
      <w:pPr>
        <w:spacing w:line="240" w:lineRule="auto"/>
      </w:pPr>
      <w:r>
        <w:separator/>
      </w:r>
    </w:p>
  </w:endnote>
  <w:endnote w:type="continuationSeparator" w:id="0">
    <w:p w14:paraId="4F37AAAD" w14:textId="77777777" w:rsidR="009144F1" w:rsidRDefault="009144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082" w14:textId="1812CA92" w:rsidR="000B5540" w:rsidRDefault="00E30E2D">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AB2BC5">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566E897" w14:textId="77777777" w:rsidR="000B5540" w:rsidRDefault="000B5540">
    <w:pPr>
      <w:pBdr>
        <w:top w:val="nil"/>
        <w:left w:val="nil"/>
        <w:bottom w:val="nil"/>
        <w:right w:val="nil"/>
        <w:between w:val="nil"/>
      </w:pBdr>
      <w:tabs>
        <w:tab w:val="center" w:pos="4680"/>
        <w:tab w:val="right" w:pos="9360"/>
      </w:tabs>
      <w:spacing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677" w14:textId="52F95A6B" w:rsidR="000B5540" w:rsidRDefault="00AB2BC5" w:rsidP="00AB2BC5">
    <w:pPr>
      <w:pBdr>
        <w:top w:val="nil"/>
        <w:left w:val="nil"/>
        <w:bottom w:val="nil"/>
        <w:right w:val="nil"/>
        <w:between w:val="nil"/>
      </w:pBdr>
      <w:tabs>
        <w:tab w:val="center" w:pos="4680"/>
        <w:tab w:val="right" w:pos="9360"/>
      </w:tabs>
      <w:spacing w:line="240" w:lineRule="auto"/>
      <w:rPr>
        <w:i/>
        <w:color w:val="000000"/>
        <w:sz w:val="18"/>
        <w:szCs w:val="18"/>
      </w:rPr>
    </w:pPr>
    <w:r w:rsidRPr="00AB2BC5">
      <w:rPr>
        <w:bCs/>
        <w:i/>
        <w:color w:val="000000"/>
        <w:sz w:val="18"/>
        <w:szCs w:val="18"/>
      </w:rPr>
      <w:t>Olson, Bates, Yarbrough, Westall, Denis, &amp; Barnett.</w:t>
    </w:r>
    <w:r>
      <w:rPr>
        <w:i/>
        <w:color w:val="000000"/>
        <w:sz w:val="18"/>
        <w:szCs w:val="18"/>
      </w:rPr>
      <w:t xml:space="preserve"> 2023. Journal of Information Literacy, 1</w:t>
    </w:r>
    <w:r w:rsidR="00AE0CC0">
      <w:rPr>
        <w:i/>
        <w:color w:val="000000"/>
        <w:sz w:val="18"/>
        <w:szCs w:val="18"/>
      </w:rPr>
      <w:t>7</w:t>
    </w:r>
    <w:r>
      <w:rPr>
        <w:i/>
        <w:color w:val="000000"/>
        <w:sz w:val="18"/>
        <w:szCs w:val="18"/>
      </w:rPr>
      <w:t>(</w:t>
    </w:r>
    <w:r w:rsidR="00AE0CC0">
      <w:rPr>
        <w:i/>
        <w:color w:val="000000"/>
        <w:sz w:val="18"/>
        <w:szCs w:val="18"/>
      </w:rPr>
      <w:t>1</w:t>
    </w:r>
    <w:r>
      <w:rPr>
        <w:i/>
        <w:color w:val="000000"/>
        <w:sz w:val="18"/>
        <w:szCs w:val="18"/>
      </w:rPr>
      <w:t>).</w:t>
    </w:r>
    <w:r w:rsidRPr="00AB2BC5">
      <w:rPr>
        <w:i/>
        <w:color w:val="000000"/>
        <w:sz w:val="18"/>
        <w:szCs w:val="18"/>
      </w:rPr>
      <w:t xml:space="preserve"> </w:t>
    </w:r>
    <w:r>
      <w:rPr>
        <w:i/>
        <w:color w:val="000000"/>
        <w:sz w:val="18"/>
        <w:szCs w:val="18"/>
      </w:rPr>
      <w:tab/>
    </w:r>
    <w:r w:rsidRPr="007E46D4">
      <w:rPr>
        <w:iCs/>
        <w:color w:val="000000"/>
        <w:sz w:val="18"/>
        <w:szCs w:val="18"/>
      </w:rPr>
      <w:fldChar w:fldCharType="begin"/>
    </w:r>
    <w:r w:rsidRPr="007E46D4">
      <w:rPr>
        <w:iCs/>
        <w:color w:val="000000"/>
        <w:sz w:val="18"/>
        <w:szCs w:val="18"/>
      </w:rPr>
      <w:instrText>PAGE</w:instrText>
    </w:r>
    <w:r w:rsidRPr="007E46D4">
      <w:rPr>
        <w:iCs/>
        <w:color w:val="000000"/>
        <w:sz w:val="18"/>
        <w:szCs w:val="18"/>
      </w:rPr>
      <w:fldChar w:fldCharType="separate"/>
    </w:r>
    <w:r w:rsidRPr="007E46D4">
      <w:rPr>
        <w:iCs/>
        <w:color w:val="000000"/>
        <w:sz w:val="18"/>
        <w:szCs w:val="18"/>
      </w:rPr>
      <w:t>2</w:t>
    </w:r>
    <w:r w:rsidRPr="007E46D4">
      <w:rPr>
        <w:iCs/>
        <w:color w:val="000000"/>
        <w:sz w:val="18"/>
        <w:szCs w:val="18"/>
      </w:rPr>
      <w:fldChar w:fldCharType="end"/>
    </w:r>
  </w:p>
  <w:p w14:paraId="69A6B2EB" w14:textId="2E90CF89" w:rsidR="000B5540" w:rsidRDefault="00E30E2D">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http://dx.doi.org/10.11645/</w:t>
    </w:r>
    <w:r w:rsidR="00AB2BC5">
      <w:rPr>
        <w:i/>
        <w:color w:val="000000"/>
        <w:sz w:val="18"/>
        <w:szCs w:val="18"/>
      </w:rPr>
      <w:t>1</w:t>
    </w:r>
    <w:r w:rsidR="002C1148">
      <w:rPr>
        <w:i/>
        <w:color w:val="000000"/>
        <w:sz w:val="18"/>
        <w:szCs w:val="18"/>
      </w:rPr>
      <w:t>7</w:t>
    </w:r>
    <w:r>
      <w:rPr>
        <w:i/>
        <w:color w:val="000000"/>
        <w:sz w:val="18"/>
        <w:szCs w:val="18"/>
      </w:rPr>
      <w:t>.</w:t>
    </w:r>
    <w:r w:rsidR="002C1148">
      <w:rPr>
        <w:i/>
        <w:color w:val="000000"/>
        <w:sz w:val="18"/>
        <w:szCs w:val="18"/>
      </w:rPr>
      <w:t>1</w:t>
    </w:r>
    <w:r>
      <w:rPr>
        <w:i/>
        <w:color w:val="000000"/>
        <w:sz w:val="18"/>
        <w:szCs w:val="18"/>
      </w:rPr>
      <w:t>.</w:t>
    </w:r>
    <w:r w:rsidR="00786624">
      <w:rPr>
        <w:i/>
        <w:color w:val="000000"/>
        <w:sz w:val="18"/>
        <w:szCs w:val="18"/>
      </w:rPr>
      <w:t>3319</w:t>
    </w:r>
    <w:r>
      <w:rPr>
        <w:i/>
        <w:color w:val="000000"/>
        <w:sz w:val="18"/>
        <w:szCs w:val="18"/>
      </w:rPr>
      <w:t xml:space="preserve"> </w:t>
    </w:r>
  </w:p>
  <w:p w14:paraId="3B2ACA59" w14:textId="77777777" w:rsidR="000B5540" w:rsidRDefault="000B5540">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C264" w14:textId="77777777" w:rsidR="00786624" w:rsidRDefault="00786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E5D5" w14:textId="77777777" w:rsidR="009144F1" w:rsidRDefault="009144F1">
      <w:pPr>
        <w:spacing w:line="240" w:lineRule="auto"/>
      </w:pPr>
      <w:r>
        <w:separator/>
      </w:r>
    </w:p>
  </w:footnote>
  <w:footnote w:type="continuationSeparator" w:id="0">
    <w:p w14:paraId="6B1CBD57" w14:textId="77777777" w:rsidR="009144F1" w:rsidRDefault="009144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6AD5" w14:textId="77777777" w:rsidR="00786624" w:rsidRDefault="00786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F9E3" w14:textId="77777777" w:rsidR="00786624" w:rsidRDefault="007866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AF37" w14:textId="77777777" w:rsidR="00786624" w:rsidRDefault="00786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85670"/>
    <w:multiLevelType w:val="hybridMultilevel"/>
    <w:tmpl w:val="FFFFFFFF"/>
    <w:lvl w:ilvl="0" w:tplc="BF42D638">
      <w:start w:val="1"/>
      <w:numFmt w:val="bullet"/>
      <w:lvlText w:val=""/>
      <w:lvlJc w:val="left"/>
      <w:pPr>
        <w:ind w:left="360" w:hanging="360"/>
      </w:pPr>
      <w:rPr>
        <w:rFonts w:ascii="Symbol" w:hAnsi="Symbol" w:hint="default"/>
      </w:rPr>
    </w:lvl>
    <w:lvl w:ilvl="1" w:tplc="BA5262CA">
      <w:start w:val="1"/>
      <w:numFmt w:val="bullet"/>
      <w:lvlText w:val="o"/>
      <w:lvlJc w:val="left"/>
      <w:pPr>
        <w:ind w:left="1080" w:hanging="360"/>
      </w:pPr>
      <w:rPr>
        <w:rFonts w:ascii="Courier New" w:hAnsi="Courier New" w:hint="default"/>
      </w:rPr>
    </w:lvl>
    <w:lvl w:ilvl="2" w:tplc="3412DF4C">
      <w:start w:val="1"/>
      <w:numFmt w:val="bullet"/>
      <w:lvlText w:val=""/>
      <w:lvlJc w:val="left"/>
      <w:pPr>
        <w:ind w:left="1800" w:hanging="360"/>
      </w:pPr>
      <w:rPr>
        <w:rFonts w:ascii="Wingdings" w:hAnsi="Wingdings" w:hint="default"/>
      </w:rPr>
    </w:lvl>
    <w:lvl w:ilvl="3" w:tplc="13589B1C">
      <w:start w:val="1"/>
      <w:numFmt w:val="bullet"/>
      <w:lvlText w:val=""/>
      <w:lvlJc w:val="left"/>
      <w:pPr>
        <w:ind w:left="2520" w:hanging="360"/>
      </w:pPr>
      <w:rPr>
        <w:rFonts w:ascii="Symbol" w:hAnsi="Symbol" w:hint="default"/>
      </w:rPr>
    </w:lvl>
    <w:lvl w:ilvl="4" w:tplc="037C033A">
      <w:start w:val="1"/>
      <w:numFmt w:val="bullet"/>
      <w:lvlText w:val="o"/>
      <w:lvlJc w:val="left"/>
      <w:pPr>
        <w:ind w:left="3240" w:hanging="360"/>
      </w:pPr>
      <w:rPr>
        <w:rFonts w:ascii="Courier New" w:hAnsi="Courier New" w:hint="default"/>
      </w:rPr>
    </w:lvl>
    <w:lvl w:ilvl="5" w:tplc="43F0A538">
      <w:start w:val="1"/>
      <w:numFmt w:val="bullet"/>
      <w:lvlText w:val=""/>
      <w:lvlJc w:val="left"/>
      <w:pPr>
        <w:ind w:left="3960" w:hanging="360"/>
      </w:pPr>
      <w:rPr>
        <w:rFonts w:ascii="Wingdings" w:hAnsi="Wingdings" w:hint="default"/>
      </w:rPr>
    </w:lvl>
    <w:lvl w:ilvl="6" w:tplc="C10A5802">
      <w:start w:val="1"/>
      <w:numFmt w:val="bullet"/>
      <w:lvlText w:val=""/>
      <w:lvlJc w:val="left"/>
      <w:pPr>
        <w:ind w:left="4680" w:hanging="360"/>
      </w:pPr>
      <w:rPr>
        <w:rFonts w:ascii="Symbol" w:hAnsi="Symbol" w:hint="default"/>
      </w:rPr>
    </w:lvl>
    <w:lvl w:ilvl="7" w:tplc="9F3643C0">
      <w:start w:val="1"/>
      <w:numFmt w:val="bullet"/>
      <w:lvlText w:val="o"/>
      <w:lvlJc w:val="left"/>
      <w:pPr>
        <w:ind w:left="5400" w:hanging="360"/>
      </w:pPr>
      <w:rPr>
        <w:rFonts w:ascii="Courier New" w:hAnsi="Courier New" w:hint="default"/>
      </w:rPr>
    </w:lvl>
    <w:lvl w:ilvl="8" w:tplc="B3185234">
      <w:start w:val="1"/>
      <w:numFmt w:val="bullet"/>
      <w:lvlText w:val=""/>
      <w:lvlJc w:val="left"/>
      <w:pPr>
        <w:ind w:left="6120" w:hanging="360"/>
      </w:pPr>
      <w:rPr>
        <w:rFonts w:ascii="Wingdings" w:hAnsi="Wingdings" w:hint="default"/>
      </w:rPr>
    </w:lvl>
  </w:abstractNum>
  <w:abstractNum w:abstractNumId="1" w15:restartNumberingAfterBreak="0">
    <w:nsid w:val="18FD5CDD"/>
    <w:multiLevelType w:val="hybridMultilevel"/>
    <w:tmpl w:val="AA12284C"/>
    <w:lvl w:ilvl="0" w:tplc="7A7EA9B2">
      <w:start w:val="1"/>
      <w:numFmt w:val="bullet"/>
      <w:lvlText w:val=""/>
      <w:lvlJc w:val="left"/>
      <w:pPr>
        <w:ind w:left="360" w:hanging="360"/>
      </w:pPr>
      <w:rPr>
        <w:rFonts w:ascii="Symbol" w:hAnsi="Symbol" w:hint="default"/>
      </w:rPr>
    </w:lvl>
    <w:lvl w:ilvl="1" w:tplc="A5145E98">
      <w:start w:val="1"/>
      <w:numFmt w:val="bullet"/>
      <w:lvlText w:val="o"/>
      <w:lvlJc w:val="left"/>
      <w:pPr>
        <w:ind w:left="1080" w:hanging="360"/>
      </w:pPr>
      <w:rPr>
        <w:rFonts w:ascii="Courier New" w:hAnsi="Courier New" w:hint="default"/>
      </w:rPr>
    </w:lvl>
    <w:lvl w:ilvl="2" w:tplc="74A0C132">
      <w:start w:val="1"/>
      <w:numFmt w:val="bullet"/>
      <w:lvlText w:val=""/>
      <w:lvlJc w:val="left"/>
      <w:pPr>
        <w:ind w:left="1800" w:hanging="360"/>
      </w:pPr>
      <w:rPr>
        <w:rFonts w:ascii="Wingdings" w:hAnsi="Wingdings" w:hint="default"/>
      </w:rPr>
    </w:lvl>
    <w:lvl w:ilvl="3" w:tplc="42AA0A14">
      <w:start w:val="1"/>
      <w:numFmt w:val="bullet"/>
      <w:lvlText w:val=""/>
      <w:lvlJc w:val="left"/>
      <w:pPr>
        <w:ind w:left="2520" w:hanging="360"/>
      </w:pPr>
      <w:rPr>
        <w:rFonts w:ascii="Symbol" w:hAnsi="Symbol" w:hint="default"/>
      </w:rPr>
    </w:lvl>
    <w:lvl w:ilvl="4" w:tplc="E10E654C">
      <w:start w:val="1"/>
      <w:numFmt w:val="bullet"/>
      <w:lvlText w:val="o"/>
      <w:lvlJc w:val="left"/>
      <w:pPr>
        <w:ind w:left="3240" w:hanging="360"/>
      </w:pPr>
      <w:rPr>
        <w:rFonts w:ascii="Courier New" w:hAnsi="Courier New" w:hint="default"/>
      </w:rPr>
    </w:lvl>
    <w:lvl w:ilvl="5" w:tplc="7A9638EE">
      <w:start w:val="1"/>
      <w:numFmt w:val="bullet"/>
      <w:lvlText w:val=""/>
      <w:lvlJc w:val="left"/>
      <w:pPr>
        <w:ind w:left="3960" w:hanging="360"/>
      </w:pPr>
      <w:rPr>
        <w:rFonts w:ascii="Wingdings" w:hAnsi="Wingdings" w:hint="default"/>
      </w:rPr>
    </w:lvl>
    <w:lvl w:ilvl="6" w:tplc="5E3EFA74">
      <w:start w:val="1"/>
      <w:numFmt w:val="bullet"/>
      <w:lvlText w:val=""/>
      <w:lvlJc w:val="left"/>
      <w:pPr>
        <w:ind w:left="4680" w:hanging="360"/>
      </w:pPr>
      <w:rPr>
        <w:rFonts w:ascii="Symbol" w:hAnsi="Symbol" w:hint="default"/>
      </w:rPr>
    </w:lvl>
    <w:lvl w:ilvl="7" w:tplc="B714165E">
      <w:start w:val="1"/>
      <w:numFmt w:val="bullet"/>
      <w:lvlText w:val="o"/>
      <w:lvlJc w:val="left"/>
      <w:pPr>
        <w:ind w:left="5400" w:hanging="360"/>
      </w:pPr>
      <w:rPr>
        <w:rFonts w:ascii="Courier New" w:hAnsi="Courier New" w:hint="default"/>
      </w:rPr>
    </w:lvl>
    <w:lvl w:ilvl="8" w:tplc="7C7881D6">
      <w:start w:val="1"/>
      <w:numFmt w:val="bullet"/>
      <w:lvlText w:val=""/>
      <w:lvlJc w:val="left"/>
      <w:pPr>
        <w:ind w:left="6120" w:hanging="360"/>
      </w:pPr>
      <w:rPr>
        <w:rFonts w:ascii="Wingdings" w:hAnsi="Wingdings" w:hint="default"/>
      </w:rPr>
    </w:lvl>
  </w:abstractNum>
  <w:abstractNum w:abstractNumId="2" w15:restartNumberingAfterBreak="0">
    <w:nsid w:val="1EF2633D"/>
    <w:multiLevelType w:val="hybridMultilevel"/>
    <w:tmpl w:val="B3822F3C"/>
    <w:lvl w:ilvl="0" w:tplc="7F0461EC">
      <w:start w:val="1"/>
      <w:numFmt w:val="bullet"/>
      <w:lvlText w:val=""/>
      <w:lvlJc w:val="left"/>
      <w:pPr>
        <w:ind w:left="720" w:hanging="360"/>
      </w:pPr>
      <w:rPr>
        <w:rFonts w:ascii="Symbol" w:hAnsi="Symbol" w:hint="default"/>
      </w:rPr>
    </w:lvl>
    <w:lvl w:ilvl="1" w:tplc="035429B6">
      <w:start w:val="1"/>
      <w:numFmt w:val="bullet"/>
      <w:lvlText w:val="o"/>
      <w:lvlJc w:val="left"/>
      <w:pPr>
        <w:ind w:left="1440" w:hanging="360"/>
      </w:pPr>
      <w:rPr>
        <w:rFonts w:ascii="Courier New" w:hAnsi="Courier New" w:hint="default"/>
      </w:rPr>
    </w:lvl>
    <w:lvl w:ilvl="2" w:tplc="B204E61E">
      <w:start w:val="1"/>
      <w:numFmt w:val="bullet"/>
      <w:lvlText w:val=""/>
      <w:lvlJc w:val="left"/>
      <w:pPr>
        <w:ind w:left="2160" w:hanging="360"/>
      </w:pPr>
      <w:rPr>
        <w:rFonts w:ascii="Wingdings" w:hAnsi="Wingdings" w:hint="default"/>
      </w:rPr>
    </w:lvl>
    <w:lvl w:ilvl="3" w:tplc="D422C8C0">
      <w:start w:val="1"/>
      <w:numFmt w:val="bullet"/>
      <w:lvlText w:val=""/>
      <w:lvlJc w:val="left"/>
      <w:pPr>
        <w:ind w:left="2880" w:hanging="360"/>
      </w:pPr>
      <w:rPr>
        <w:rFonts w:ascii="Symbol" w:hAnsi="Symbol" w:hint="default"/>
      </w:rPr>
    </w:lvl>
    <w:lvl w:ilvl="4" w:tplc="E7E4B082">
      <w:start w:val="1"/>
      <w:numFmt w:val="bullet"/>
      <w:lvlText w:val="o"/>
      <w:lvlJc w:val="left"/>
      <w:pPr>
        <w:ind w:left="3600" w:hanging="360"/>
      </w:pPr>
      <w:rPr>
        <w:rFonts w:ascii="Courier New" w:hAnsi="Courier New" w:hint="default"/>
      </w:rPr>
    </w:lvl>
    <w:lvl w:ilvl="5" w:tplc="16DC52CE">
      <w:start w:val="1"/>
      <w:numFmt w:val="bullet"/>
      <w:lvlText w:val=""/>
      <w:lvlJc w:val="left"/>
      <w:pPr>
        <w:ind w:left="4320" w:hanging="360"/>
      </w:pPr>
      <w:rPr>
        <w:rFonts w:ascii="Wingdings" w:hAnsi="Wingdings" w:hint="default"/>
      </w:rPr>
    </w:lvl>
    <w:lvl w:ilvl="6" w:tplc="FB14C554">
      <w:start w:val="1"/>
      <w:numFmt w:val="bullet"/>
      <w:lvlText w:val=""/>
      <w:lvlJc w:val="left"/>
      <w:pPr>
        <w:ind w:left="5040" w:hanging="360"/>
      </w:pPr>
      <w:rPr>
        <w:rFonts w:ascii="Symbol" w:hAnsi="Symbol" w:hint="default"/>
      </w:rPr>
    </w:lvl>
    <w:lvl w:ilvl="7" w:tplc="DBEC87FE">
      <w:start w:val="1"/>
      <w:numFmt w:val="bullet"/>
      <w:lvlText w:val="o"/>
      <w:lvlJc w:val="left"/>
      <w:pPr>
        <w:ind w:left="5760" w:hanging="360"/>
      </w:pPr>
      <w:rPr>
        <w:rFonts w:ascii="Courier New" w:hAnsi="Courier New" w:hint="default"/>
      </w:rPr>
    </w:lvl>
    <w:lvl w:ilvl="8" w:tplc="AB346F08">
      <w:start w:val="1"/>
      <w:numFmt w:val="bullet"/>
      <w:lvlText w:val=""/>
      <w:lvlJc w:val="left"/>
      <w:pPr>
        <w:ind w:left="6480" w:hanging="360"/>
      </w:pPr>
      <w:rPr>
        <w:rFonts w:ascii="Wingdings" w:hAnsi="Wingdings" w:hint="default"/>
      </w:rPr>
    </w:lvl>
  </w:abstractNum>
  <w:abstractNum w:abstractNumId="3" w15:restartNumberingAfterBreak="0">
    <w:nsid w:val="207F694C"/>
    <w:multiLevelType w:val="hybridMultilevel"/>
    <w:tmpl w:val="B7469108"/>
    <w:lvl w:ilvl="0" w:tplc="89C6132C">
      <w:start w:val="1"/>
      <w:numFmt w:val="lowerLetter"/>
      <w:lvlText w:val="%1."/>
      <w:lvlJc w:val="left"/>
      <w:pPr>
        <w:ind w:left="720" w:hanging="360"/>
      </w:pPr>
    </w:lvl>
    <w:lvl w:ilvl="1" w:tplc="EF1E013A">
      <w:start w:val="1"/>
      <w:numFmt w:val="lowerLetter"/>
      <w:lvlText w:val="%2."/>
      <w:lvlJc w:val="left"/>
      <w:pPr>
        <w:ind w:left="1440" w:hanging="360"/>
      </w:pPr>
    </w:lvl>
    <w:lvl w:ilvl="2" w:tplc="5C8853BC">
      <w:start w:val="1"/>
      <w:numFmt w:val="lowerRoman"/>
      <w:lvlText w:val="%3."/>
      <w:lvlJc w:val="right"/>
      <w:pPr>
        <w:ind w:left="2160" w:hanging="180"/>
      </w:pPr>
    </w:lvl>
    <w:lvl w:ilvl="3" w:tplc="CECCFC3C">
      <w:start w:val="1"/>
      <w:numFmt w:val="decimal"/>
      <w:lvlText w:val="%4."/>
      <w:lvlJc w:val="left"/>
      <w:pPr>
        <w:ind w:left="2880" w:hanging="360"/>
      </w:pPr>
    </w:lvl>
    <w:lvl w:ilvl="4" w:tplc="2328FC06">
      <w:start w:val="1"/>
      <w:numFmt w:val="lowerLetter"/>
      <w:lvlText w:val="%5."/>
      <w:lvlJc w:val="left"/>
      <w:pPr>
        <w:ind w:left="3600" w:hanging="360"/>
      </w:pPr>
    </w:lvl>
    <w:lvl w:ilvl="5" w:tplc="FC9A28BC">
      <w:start w:val="1"/>
      <w:numFmt w:val="lowerRoman"/>
      <w:lvlText w:val="%6."/>
      <w:lvlJc w:val="right"/>
      <w:pPr>
        <w:ind w:left="4320" w:hanging="180"/>
      </w:pPr>
    </w:lvl>
    <w:lvl w:ilvl="6" w:tplc="FA924E02">
      <w:start w:val="1"/>
      <w:numFmt w:val="decimal"/>
      <w:lvlText w:val="%7."/>
      <w:lvlJc w:val="left"/>
      <w:pPr>
        <w:ind w:left="5040" w:hanging="360"/>
      </w:pPr>
    </w:lvl>
    <w:lvl w:ilvl="7" w:tplc="281C208E">
      <w:start w:val="1"/>
      <w:numFmt w:val="lowerLetter"/>
      <w:lvlText w:val="%8."/>
      <w:lvlJc w:val="left"/>
      <w:pPr>
        <w:ind w:left="5760" w:hanging="360"/>
      </w:pPr>
    </w:lvl>
    <w:lvl w:ilvl="8" w:tplc="7416D76E">
      <w:start w:val="1"/>
      <w:numFmt w:val="lowerRoman"/>
      <w:lvlText w:val="%9."/>
      <w:lvlJc w:val="right"/>
      <w:pPr>
        <w:ind w:left="6480" w:hanging="180"/>
      </w:pPr>
    </w:lvl>
  </w:abstractNum>
  <w:abstractNum w:abstractNumId="4" w15:restartNumberingAfterBreak="0">
    <w:nsid w:val="230F25CF"/>
    <w:multiLevelType w:val="hybridMultilevel"/>
    <w:tmpl w:val="6584EAF0"/>
    <w:lvl w:ilvl="0" w:tplc="76786692">
      <w:start w:val="1"/>
      <w:numFmt w:val="bullet"/>
      <w:lvlText w:val=""/>
      <w:lvlJc w:val="left"/>
      <w:pPr>
        <w:ind w:left="720" w:hanging="360"/>
      </w:pPr>
      <w:rPr>
        <w:rFonts w:ascii="Symbol" w:hAnsi="Symbol" w:hint="default"/>
      </w:rPr>
    </w:lvl>
    <w:lvl w:ilvl="1" w:tplc="7AB62422">
      <w:start w:val="1"/>
      <w:numFmt w:val="bullet"/>
      <w:lvlText w:val="o"/>
      <w:lvlJc w:val="left"/>
      <w:pPr>
        <w:ind w:left="1440" w:hanging="360"/>
      </w:pPr>
      <w:rPr>
        <w:rFonts w:ascii="Courier New" w:hAnsi="Courier New" w:hint="default"/>
      </w:rPr>
    </w:lvl>
    <w:lvl w:ilvl="2" w:tplc="AD82F606">
      <w:start w:val="1"/>
      <w:numFmt w:val="bullet"/>
      <w:lvlText w:val=""/>
      <w:lvlJc w:val="left"/>
      <w:pPr>
        <w:ind w:left="2160" w:hanging="360"/>
      </w:pPr>
      <w:rPr>
        <w:rFonts w:ascii="Wingdings" w:hAnsi="Wingdings" w:hint="default"/>
      </w:rPr>
    </w:lvl>
    <w:lvl w:ilvl="3" w:tplc="E7D696CA">
      <w:start w:val="1"/>
      <w:numFmt w:val="bullet"/>
      <w:lvlText w:val=""/>
      <w:lvlJc w:val="left"/>
      <w:pPr>
        <w:ind w:left="2880" w:hanging="360"/>
      </w:pPr>
      <w:rPr>
        <w:rFonts w:ascii="Symbol" w:hAnsi="Symbol" w:hint="default"/>
      </w:rPr>
    </w:lvl>
    <w:lvl w:ilvl="4" w:tplc="61A45BFC">
      <w:start w:val="1"/>
      <w:numFmt w:val="bullet"/>
      <w:lvlText w:val="o"/>
      <w:lvlJc w:val="left"/>
      <w:pPr>
        <w:ind w:left="3600" w:hanging="360"/>
      </w:pPr>
      <w:rPr>
        <w:rFonts w:ascii="Courier New" w:hAnsi="Courier New" w:hint="default"/>
      </w:rPr>
    </w:lvl>
    <w:lvl w:ilvl="5" w:tplc="4036CE8A">
      <w:start w:val="1"/>
      <w:numFmt w:val="bullet"/>
      <w:lvlText w:val=""/>
      <w:lvlJc w:val="left"/>
      <w:pPr>
        <w:ind w:left="4320" w:hanging="360"/>
      </w:pPr>
      <w:rPr>
        <w:rFonts w:ascii="Wingdings" w:hAnsi="Wingdings" w:hint="default"/>
      </w:rPr>
    </w:lvl>
    <w:lvl w:ilvl="6" w:tplc="36F82C20">
      <w:start w:val="1"/>
      <w:numFmt w:val="bullet"/>
      <w:lvlText w:val=""/>
      <w:lvlJc w:val="left"/>
      <w:pPr>
        <w:ind w:left="5040" w:hanging="360"/>
      </w:pPr>
      <w:rPr>
        <w:rFonts w:ascii="Symbol" w:hAnsi="Symbol" w:hint="default"/>
      </w:rPr>
    </w:lvl>
    <w:lvl w:ilvl="7" w:tplc="3E0A9512">
      <w:start w:val="1"/>
      <w:numFmt w:val="bullet"/>
      <w:lvlText w:val="o"/>
      <w:lvlJc w:val="left"/>
      <w:pPr>
        <w:ind w:left="5760" w:hanging="360"/>
      </w:pPr>
      <w:rPr>
        <w:rFonts w:ascii="Courier New" w:hAnsi="Courier New" w:hint="default"/>
      </w:rPr>
    </w:lvl>
    <w:lvl w:ilvl="8" w:tplc="799E3582">
      <w:start w:val="1"/>
      <w:numFmt w:val="bullet"/>
      <w:lvlText w:val=""/>
      <w:lvlJc w:val="left"/>
      <w:pPr>
        <w:ind w:left="6480" w:hanging="360"/>
      </w:pPr>
      <w:rPr>
        <w:rFonts w:ascii="Wingdings" w:hAnsi="Wingdings" w:hint="default"/>
      </w:rPr>
    </w:lvl>
  </w:abstractNum>
  <w:abstractNum w:abstractNumId="5" w15:restartNumberingAfterBreak="0">
    <w:nsid w:val="253D4220"/>
    <w:multiLevelType w:val="hybridMultilevel"/>
    <w:tmpl w:val="2F38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65056"/>
    <w:multiLevelType w:val="hybridMultilevel"/>
    <w:tmpl w:val="A55C3A74"/>
    <w:lvl w:ilvl="0" w:tplc="9F7A965C">
      <w:start w:val="1"/>
      <w:numFmt w:val="bullet"/>
      <w:lvlText w:val=""/>
      <w:lvlJc w:val="left"/>
      <w:pPr>
        <w:ind w:left="360" w:hanging="360"/>
      </w:pPr>
      <w:rPr>
        <w:rFonts w:ascii="Symbol" w:hAnsi="Symbol" w:hint="default"/>
      </w:rPr>
    </w:lvl>
    <w:lvl w:ilvl="1" w:tplc="B2DE6928" w:tentative="1">
      <w:start w:val="1"/>
      <w:numFmt w:val="bullet"/>
      <w:lvlText w:val="o"/>
      <w:lvlJc w:val="left"/>
      <w:pPr>
        <w:ind w:left="1080" w:hanging="360"/>
      </w:pPr>
      <w:rPr>
        <w:rFonts w:ascii="Courier New" w:hAnsi="Courier New" w:hint="default"/>
      </w:rPr>
    </w:lvl>
    <w:lvl w:ilvl="2" w:tplc="AE3E0E6C" w:tentative="1">
      <w:start w:val="1"/>
      <w:numFmt w:val="bullet"/>
      <w:lvlText w:val=""/>
      <w:lvlJc w:val="left"/>
      <w:pPr>
        <w:ind w:left="1800" w:hanging="360"/>
      </w:pPr>
      <w:rPr>
        <w:rFonts w:ascii="Wingdings" w:hAnsi="Wingdings" w:hint="default"/>
      </w:rPr>
    </w:lvl>
    <w:lvl w:ilvl="3" w:tplc="C6C8774C" w:tentative="1">
      <w:start w:val="1"/>
      <w:numFmt w:val="bullet"/>
      <w:lvlText w:val=""/>
      <w:lvlJc w:val="left"/>
      <w:pPr>
        <w:ind w:left="2520" w:hanging="360"/>
      </w:pPr>
      <w:rPr>
        <w:rFonts w:ascii="Symbol" w:hAnsi="Symbol" w:hint="default"/>
      </w:rPr>
    </w:lvl>
    <w:lvl w:ilvl="4" w:tplc="35B4A026" w:tentative="1">
      <w:start w:val="1"/>
      <w:numFmt w:val="bullet"/>
      <w:lvlText w:val="o"/>
      <w:lvlJc w:val="left"/>
      <w:pPr>
        <w:ind w:left="3240" w:hanging="360"/>
      </w:pPr>
      <w:rPr>
        <w:rFonts w:ascii="Courier New" w:hAnsi="Courier New" w:hint="default"/>
      </w:rPr>
    </w:lvl>
    <w:lvl w:ilvl="5" w:tplc="3C6080AC" w:tentative="1">
      <w:start w:val="1"/>
      <w:numFmt w:val="bullet"/>
      <w:lvlText w:val=""/>
      <w:lvlJc w:val="left"/>
      <w:pPr>
        <w:ind w:left="3960" w:hanging="360"/>
      </w:pPr>
      <w:rPr>
        <w:rFonts w:ascii="Wingdings" w:hAnsi="Wingdings" w:hint="default"/>
      </w:rPr>
    </w:lvl>
    <w:lvl w:ilvl="6" w:tplc="E2A2DD0E" w:tentative="1">
      <w:start w:val="1"/>
      <w:numFmt w:val="bullet"/>
      <w:lvlText w:val=""/>
      <w:lvlJc w:val="left"/>
      <w:pPr>
        <w:ind w:left="4680" w:hanging="360"/>
      </w:pPr>
      <w:rPr>
        <w:rFonts w:ascii="Symbol" w:hAnsi="Symbol" w:hint="default"/>
      </w:rPr>
    </w:lvl>
    <w:lvl w:ilvl="7" w:tplc="E1D432E6" w:tentative="1">
      <w:start w:val="1"/>
      <w:numFmt w:val="bullet"/>
      <w:lvlText w:val="o"/>
      <w:lvlJc w:val="left"/>
      <w:pPr>
        <w:ind w:left="5400" w:hanging="360"/>
      </w:pPr>
      <w:rPr>
        <w:rFonts w:ascii="Courier New" w:hAnsi="Courier New" w:hint="default"/>
      </w:rPr>
    </w:lvl>
    <w:lvl w:ilvl="8" w:tplc="2D849F1C" w:tentative="1">
      <w:start w:val="1"/>
      <w:numFmt w:val="bullet"/>
      <w:lvlText w:val=""/>
      <w:lvlJc w:val="left"/>
      <w:pPr>
        <w:ind w:left="6120" w:hanging="360"/>
      </w:pPr>
      <w:rPr>
        <w:rFonts w:ascii="Wingdings" w:hAnsi="Wingdings" w:hint="default"/>
      </w:rPr>
    </w:lvl>
  </w:abstractNum>
  <w:abstractNum w:abstractNumId="7" w15:restartNumberingAfterBreak="0">
    <w:nsid w:val="2993EB4B"/>
    <w:multiLevelType w:val="hybridMultilevel"/>
    <w:tmpl w:val="F5241606"/>
    <w:lvl w:ilvl="0" w:tplc="687CD4D4">
      <w:start w:val="1"/>
      <w:numFmt w:val="bullet"/>
      <w:lvlText w:val=""/>
      <w:lvlJc w:val="left"/>
      <w:pPr>
        <w:ind w:left="720" w:hanging="360"/>
      </w:pPr>
      <w:rPr>
        <w:rFonts w:ascii="Symbol" w:hAnsi="Symbol" w:hint="default"/>
      </w:rPr>
    </w:lvl>
    <w:lvl w:ilvl="1" w:tplc="6C3816F4">
      <w:start w:val="1"/>
      <w:numFmt w:val="bullet"/>
      <w:lvlText w:val="o"/>
      <w:lvlJc w:val="left"/>
      <w:pPr>
        <w:ind w:left="1440" w:hanging="360"/>
      </w:pPr>
      <w:rPr>
        <w:rFonts w:ascii="Courier New" w:hAnsi="Courier New" w:hint="default"/>
      </w:rPr>
    </w:lvl>
    <w:lvl w:ilvl="2" w:tplc="08CCCFEE">
      <w:start w:val="1"/>
      <w:numFmt w:val="bullet"/>
      <w:lvlText w:val=""/>
      <w:lvlJc w:val="left"/>
      <w:pPr>
        <w:ind w:left="2160" w:hanging="360"/>
      </w:pPr>
      <w:rPr>
        <w:rFonts w:ascii="Wingdings" w:hAnsi="Wingdings" w:hint="default"/>
      </w:rPr>
    </w:lvl>
    <w:lvl w:ilvl="3" w:tplc="9A20271C">
      <w:start w:val="1"/>
      <w:numFmt w:val="bullet"/>
      <w:lvlText w:val=""/>
      <w:lvlJc w:val="left"/>
      <w:pPr>
        <w:ind w:left="2880" w:hanging="360"/>
      </w:pPr>
      <w:rPr>
        <w:rFonts w:ascii="Symbol" w:hAnsi="Symbol" w:hint="default"/>
      </w:rPr>
    </w:lvl>
    <w:lvl w:ilvl="4" w:tplc="C62E5356">
      <w:start w:val="1"/>
      <w:numFmt w:val="bullet"/>
      <w:lvlText w:val="o"/>
      <w:lvlJc w:val="left"/>
      <w:pPr>
        <w:ind w:left="3600" w:hanging="360"/>
      </w:pPr>
      <w:rPr>
        <w:rFonts w:ascii="Courier New" w:hAnsi="Courier New" w:hint="default"/>
      </w:rPr>
    </w:lvl>
    <w:lvl w:ilvl="5" w:tplc="819E0D3A">
      <w:start w:val="1"/>
      <w:numFmt w:val="bullet"/>
      <w:lvlText w:val=""/>
      <w:lvlJc w:val="left"/>
      <w:pPr>
        <w:ind w:left="4320" w:hanging="360"/>
      </w:pPr>
      <w:rPr>
        <w:rFonts w:ascii="Wingdings" w:hAnsi="Wingdings" w:hint="default"/>
      </w:rPr>
    </w:lvl>
    <w:lvl w:ilvl="6" w:tplc="C26096CC">
      <w:start w:val="1"/>
      <w:numFmt w:val="bullet"/>
      <w:lvlText w:val=""/>
      <w:lvlJc w:val="left"/>
      <w:pPr>
        <w:ind w:left="5040" w:hanging="360"/>
      </w:pPr>
      <w:rPr>
        <w:rFonts w:ascii="Symbol" w:hAnsi="Symbol" w:hint="default"/>
      </w:rPr>
    </w:lvl>
    <w:lvl w:ilvl="7" w:tplc="A554276A">
      <w:start w:val="1"/>
      <w:numFmt w:val="bullet"/>
      <w:lvlText w:val="o"/>
      <w:lvlJc w:val="left"/>
      <w:pPr>
        <w:ind w:left="5760" w:hanging="360"/>
      </w:pPr>
      <w:rPr>
        <w:rFonts w:ascii="Courier New" w:hAnsi="Courier New" w:hint="default"/>
      </w:rPr>
    </w:lvl>
    <w:lvl w:ilvl="8" w:tplc="8F8C653E">
      <w:start w:val="1"/>
      <w:numFmt w:val="bullet"/>
      <w:lvlText w:val=""/>
      <w:lvlJc w:val="left"/>
      <w:pPr>
        <w:ind w:left="6480" w:hanging="360"/>
      </w:pPr>
      <w:rPr>
        <w:rFonts w:ascii="Wingdings" w:hAnsi="Wingdings" w:hint="default"/>
      </w:rPr>
    </w:lvl>
  </w:abstractNum>
  <w:abstractNum w:abstractNumId="8" w15:restartNumberingAfterBreak="0">
    <w:nsid w:val="29DC12B6"/>
    <w:multiLevelType w:val="hybridMultilevel"/>
    <w:tmpl w:val="0BE6D0B4"/>
    <w:lvl w:ilvl="0" w:tplc="32CC1A9C">
      <w:start w:val="1"/>
      <w:numFmt w:val="bullet"/>
      <w:lvlText w:val=""/>
      <w:lvlJc w:val="left"/>
      <w:pPr>
        <w:ind w:left="720" w:hanging="360"/>
      </w:pPr>
      <w:rPr>
        <w:rFonts w:ascii="Symbol" w:hAnsi="Symbol" w:hint="default"/>
      </w:rPr>
    </w:lvl>
    <w:lvl w:ilvl="1" w:tplc="37E47D00">
      <w:start w:val="1"/>
      <w:numFmt w:val="bullet"/>
      <w:lvlText w:val="o"/>
      <w:lvlJc w:val="left"/>
      <w:pPr>
        <w:ind w:left="1440" w:hanging="360"/>
      </w:pPr>
      <w:rPr>
        <w:rFonts w:ascii="Courier New" w:hAnsi="Courier New" w:hint="default"/>
      </w:rPr>
    </w:lvl>
    <w:lvl w:ilvl="2" w:tplc="ED0C8C52">
      <w:start w:val="1"/>
      <w:numFmt w:val="bullet"/>
      <w:lvlText w:val=""/>
      <w:lvlJc w:val="left"/>
      <w:pPr>
        <w:ind w:left="2160" w:hanging="360"/>
      </w:pPr>
      <w:rPr>
        <w:rFonts w:ascii="Wingdings" w:hAnsi="Wingdings" w:hint="default"/>
      </w:rPr>
    </w:lvl>
    <w:lvl w:ilvl="3" w:tplc="B776C59A">
      <w:start w:val="1"/>
      <w:numFmt w:val="bullet"/>
      <w:lvlText w:val=""/>
      <w:lvlJc w:val="left"/>
      <w:pPr>
        <w:ind w:left="2880" w:hanging="360"/>
      </w:pPr>
      <w:rPr>
        <w:rFonts w:ascii="Symbol" w:hAnsi="Symbol" w:hint="default"/>
      </w:rPr>
    </w:lvl>
    <w:lvl w:ilvl="4" w:tplc="22D0C732">
      <w:start w:val="1"/>
      <w:numFmt w:val="bullet"/>
      <w:lvlText w:val="o"/>
      <w:lvlJc w:val="left"/>
      <w:pPr>
        <w:ind w:left="3600" w:hanging="360"/>
      </w:pPr>
      <w:rPr>
        <w:rFonts w:ascii="Courier New" w:hAnsi="Courier New" w:hint="default"/>
      </w:rPr>
    </w:lvl>
    <w:lvl w:ilvl="5" w:tplc="547442C8">
      <w:start w:val="1"/>
      <w:numFmt w:val="bullet"/>
      <w:lvlText w:val=""/>
      <w:lvlJc w:val="left"/>
      <w:pPr>
        <w:ind w:left="4320" w:hanging="360"/>
      </w:pPr>
      <w:rPr>
        <w:rFonts w:ascii="Wingdings" w:hAnsi="Wingdings" w:hint="default"/>
      </w:rPr>
    </w:lvl>
    <w:lvl w:ilvl="6" w:tplc="74EE3972">
      <w:start w:val="1"/>
      <w:numFmt w:val="bullet"/>
      <w:lvlText w:val=""/>
      <w:lvlJc w:val="left"/>
      <w:pPr>
        <w:ind w:left="5040" w:hanging="360"/>
      </w:pPr>
      <w:rPr>
        <w:rFonts w:ascii="Symbol" w:hAnsi="Symbol" w:hint="default"/>
      </w:rPr>
    </w:lvl>
    <w:lvl w:ilvl="7" w:tplc="5E044BA4">
      <w:start w:val="1"/>
      <w:numFmt w:val="bullet"/>
      <w:lvlText w:val="o"/>
      <w:lvlJc w:val="left"/>
      <w:pPr>
        <w:ind w:left="5760" w:hanging="360"/>
      </w:pPr>
      <w:rPr>
        <w:rFonts w:ascii="Courier New" w:hAnsi="Courier New" w:hint="default"/>
      </w:rPr>
    </w:lvl>
    <w:lvl w:ilvl="8" w:tplc="52A86CE8">
      <w:start w:val="1"/>
      <w:numFmt w:val="bullet"/>
      <w:lvlText w:val=""/>
      <w:lvlJc w:val="left"/>
      <w:pPr>
        <w:ind w:left="6480" w:hanging="360"/>
      </w:pPr>
      <w:rPr>
        <w:rFonts w:ascii="Wingdings" w:hAnsi="Wingdings" w:hint="default"/>
      </w:rPr>
    </w:lvl>
  </w:abstractNum>
  <w:abstractNum w:abstractNumId="9" w15:restartNumberingAfterBreak="0">
    <w:nsid w:val="2A8B4674"/>
    <w:multiLevelType w:val="hybridMultilevel"/>
    <w:tmpl w:val="FFFFFFFF"/>
    <w:lvl w:ilvl="0" w:tplc="0896A870">
      <w:start w:val="1"/>
      <w:numFmt w:val="bullet"/>
      <w:lvlText w:val=""/>
      <w:lvlJc w:val="left"/>
      <w:pPr>
        <w:ind w:left="720" w:hanging="360"/>
      </w:pPr>
      <w:rPr>
        <w:rFonts w:ascii="Symbol" w:hAnsi="Symbol" w:hint="default"/>
      </w:rPr>
    </w:lvl>
    <w:lvl w:ilvl="1" w:tplc="4AB8E5B8">
      <w:start w:val="1"/>
      <w:numFmt w:val="bullet"/>
      <w:lvlText w:val="o"/>
      <w:lvlJc w:val="left"/>
      <w:pPr>
        <w:ind w:left="1440" w:hanging="360"/>
      </w:pPr>
      <w:rPr>
        <w:rFonts w:ascii="Courier New" w:hAnsi="Courier New" w:hint="default"/>
      </w:rPr>
    </w:lvl>
    <w:lvl w:ilvl="2" w:tplc="644C5206">
      <w:start w:val="1"/>
      <w:numFmt w:val="bullet"/>
      <w:lvlText w:val=""/>
      <w:lvlJc w:val="left"/>
      <w:pPr>
        <w:ind w:left="2160" w:hanging="360"/>
      </w:pPr>
      <w:rPr>
        <w:rFonts w:ascii="Wingdings" w:hAnsi="Wingdings" w:hint="default"/>
      </w:rPr>
    </w:lvl>
    <w:lvl w:ilvl="3" w:tplc="205AA18E">
      <w:start w:val="1"/>
      <w:numFmt w:val="bullet"/>
      <w:lvlText w:val=""/>
      <w:lvlJc w:val="left"/>
      <w:pPr>
        <w:ind w:left="2880" w:hanging="360"/>
      </w:pPr>
      <w:rPr>
        <w:rFonts w:ascii="Symbol" w:hAnsi="Symbol" w:hint="default"/>
      </w:rPr>
    </w:lvl>
    <w:lvl w:ilvl="4" w:tplc="2C02CB1E">
      <w:start w:val="1"/>
      <w:numFmt w:val="bullet"/>
      <w:lvlText w:val="o"/>
      <w:lvlJc w:val="left"/>
      <w:pPr>
        <w:ind w:left="3600" w:hanging="360"/>
      </w:pPr>
      <w:rPr>
        <w:rFonts w:ascii="Courier New" w:hAnsi="Courier New" w:hint="default"/>
      </w:rPr>
    </w:lvl>
    <w:lvl w:ilvl="5" w:tplc="EBEA1EA2">
      <w:start w:val="1"/>
      <w:numFmt w:val="bullet"/>
      <w:lvlText w:val=""/>
      <w:lvlJc w:val="left"/>
      <w:pPr>
        <w:ind w:left="4320" w:hanging="360"/>
      </w:pPr>
      <w:rPr>
        <w:rFonts w:ascii="Wingdings" w:hAnsi="Wingdings" w:hint="default"/>
      </w:rPr>
    </w:lvl>
    <w:lvl w:ilvl="6" w:tplc="742C4254">
      <w:start w:val="1"/>
      <w:numFmt w:val="bullet"/>
      <w:lvlText w:val=""/>
      <w:lvlJc w:val="left"/>
      <w:pPr>
        <w:ind w:left="5040" w:hanging="360"/>
      </w:pPr>
      <w:rPr>
        <w:rFonts w:ascii="Symbol" w:hAnsi="Symbol" w:hint="default"/>
      </w:rPr>
    </w:lvl>
    <w:lvl w:ilvl="7" w:tplc="10943D8C">
      <w:start w:val="1"/>
      <w:numFmt w:val="bullet"/>
      <w:lvlText w:val="o"/>
      <w:lvlJc w:val="left"/>
      <w:pPr>
        <w:ind w:left="5760" w:hanging="360"/>
      </w:pPr>
      <w:rPr>
        <w:rFonts w:ascii="Courier New" w:hAnsi="Courier New" w:hint="default"/>
      </w:rPr>
    </w:lvl>
    <w:lvl w:ilvl="8" w:tplc="78723398">
      <w:start w:val="1"/>
      <w:numFmt w:val="bullet"/>
      <w:lvlText w:val=""/>
      <w:lvlJc w:val="left"/>
      <w:pPr>
        <w:ind w:left="6480" w:hanging="360"/>
      </w:pPr>
      <w:rPr>
        <w:rFonts w:ascii="Wingdings" w:hAnsi="Wingdings" w:hint="default"/>
      </w:rPr>
    </w:lvl>
  </w:abstractNum>
  <w:abstractNum w:abstractNumId="10" w15:restartNumberingAfterBreak="0">
    <w:nsid w:val="2B593869"/>
    <w:multiLevelType w:val="hybridMultilevel"/>
    <w:tmpl w:val="B2D6736C"/>
    <w:lvl w:ilvl="0" w:tplc="8F425C08">
      <w:start w:val="1"/>
      <w:numFmt w:val="bullet"/>
      <w:lvlText w:val=""/>
      <w:lvlJc w:val="left"/>
      <w:pPr>
        <w:ind w:left="720" w:hanging="360"/>
      </w:pPr>
      <w:rPr>
        <w:rFonts w:ascii="Symbol" w:hAnsi="Symbol" w:hint="default"/>
      </w:rPr>
    </w:lvl>
    <w:lvl w:ilvl="1" w:tplc="1ABE650C">
      <w:start w:val="1"/>
      <w:numFmt w:val="bullet"/>
      <w:lvlText w:val="o"/>
      <w:lvlJc w:val="left"/>
      <w:pPr>
        <w:ind w:left="1440" w:hanging="360"/>
      </w:pPr>
      <w:rPr>
        <w:rFonts w:ascii="Courier New" w:hAnsi="Courier New" w:hint="default"/>
      </w:rPr>
    </w:lvl>
    <w:lvl w:ilvl="2" w:tplc="117E53C6">
      <w:start w:val="1"/>
      <w:numFmt w:val="bullet"/>
      <w:lvlText w:val=""/>
      <w:lvlJc w:val="left"/>
      <w:pPr>
        <w:ind w:left="2160" w:hanging="360"/>
      </w:pPr>
      <w:rPr>
        <w:rFonts w:ascii="Wingdings" w:hAnsi="Wingdings" w:hint="default"/>
      </w:rPr>
    </w:lvl>
    <w:lvl w:ilvl="3" w:tplc="6E8695AC">
      <w:start w:val="1"/>
      <w:numFmt w:val="bullet"/>
      <w:lvlText w:val=""/>
      <w:lvlJc w:val="left"/>
      <w:pPr>
        <w:ind w:left="2880" w:hanging="360"/>
      </w:pPr>
      <w:rPr>
        <w:rFonts w:ascii="Symbol" w:hAnsi="Symbol" w:hint="default"/>
      </w:rPr>
    </w:lvl>
    <w:lvl w:ilvl="4" w:tplc="779298FC">
      <w:start w:val="1"/>
      <w:numFmt w:val="bullet"/>
      <w:lvlText w:val="o"/>
      <w:lvlJc w:val="left"/>
      <w:pPr>
        <w:ind w:left="3600" w:hanging="360"/>
      </w:pPr>
      <w:rPr>
        <w:rFonts w:ascii="Courier New" w:hAnsi="Courier New" w:hint="default"/>
      </w:rPr>
    </w:lvl>
    <w:lvl w:ilvl="5" w:tplc="61FC7F86">
      <w:start w:val="1"/>
      <w:numFmt w:val="bullet"/>
      <w:lvlText w:val=""/>
      <w:lvlJc w:val="left"/>
      <w:pPr>
        <w:ind w:left="4320" w:hanging="360"/>
      </w:pPr>
      <w:rPr>
        <w:rFonts w:ascii="Wingdings" w:hAnsi="Wingdings" w:hint="default"/>
      </w:rPr>
    </w:lvl>
    <w:lvl w:ilvl="6" w:tplc="9CFE3C84">
      <w:start w:val="1"/>
      <w:numFmt w:val="bullet"/>
      <w:lvlText w:val=""/>
      <w:lvlJc w:val="left"/>
      <w:pPr>
        <w:ind w:left="5040" w:hanging="360"/>
      </w:pPr>
      <w:rPr>
        <w:rFonts w:ascii="Symbol" w:hAnsi="Symbol" w:hint="default"/>
      </w:rPr>
    </w:lvl>
    <w:lvl w:ilvl="7" w:tplc="0D969B50">
      <w:start w:val="1"/>
      <w:numFmt w:val="bullet"/>
      <w:lvlText w:val="o"/>
      <w:lvlJc w:val="left"/>
      <w:pPr>
        <w:ind w:left="5760" w:hanging="360"/>
      </w:pPr>
      <w:rPr>
        <w:rFonts w:ascii="Courier New" w:hAnsi="Courier New" w:hint="default"/>
      </w:rPr>
    </w:lvl>
    <w:lvl w:ilvl="8" w:tplc="C4962872">
      <w:start w:val="1"/>
      <w:numFmt w:val="bullet"/>
      <w:lvlText w:val=""/>
      <w:lvlJc w:val="left"/>
      <w:pPr>
        <w:ind w:left="6480" w:hanging="360"/>
      </w:pPr>
      <w:rPr>
        <w:rFonts w:ascii="Wingdings" w:hAnsi="Wingdings" w:hint="default"/>
      </w:rPr>
    </w:lvl>
  </w:abstractNum>
  <w:abstractNum w:abstractNumId="11" w15:restartNumberingAfterBreak="0">
    <w:nsid w:val="2D8C0FFC"/>
    <w:multiLevelType w:val="hybridMultilevel"/>
    <w:tmpl w:val="B072A9C8"/>
    <w:lvl w:ilvl="0" w:tplc="E7B25FA6">
      <w:start w:val="1"/>
      <w:numFmt w:val="bullet"/>
      <w:lvlText w:val=""/>
      <w:lvlJc w:val="left"/>
      <w:pPr>
        <w:ind w:left="720" w:hanging="360"/>
      </w:pPr>
      <w:rPr>
        <w:rFonts w:ascii="Symbol" w:hAnsi="Symbol" w:hint="default"/>
      </w:rPr>
    </w:lvl>
    <w:lvl w:ilvl="1" w:tplc="F8545ECA">
      <w:start w:val="1"/>
      <w:numFmt w:val="bullet"/>
      <w:lvlText w:val="o"/>
      <w:lvlJc w:val="left"/>
      <w:pPr>
        <w:ind w:left="1440" w:hanging="360"/>
      </w:pPr>
      <w:rPr>
        <w:rFonts w:ascii="Courier New" w:hAnsi="Courier New" w:hint="default"/>
      </w:rPr>
    </w:lvl>
    <w:lvl w:ilvl="2" w:tplc="C97A07AE">
      <w:start w:val="1"/>
      <w:numFmt w:val="bullet"/>
      <w:lvlText w:val=""/>
      <w:lvlJc w:val="left"/>
      <w:pPr>
        <w:ind w:left="2160" w:hanging="360"/>
      </w:pPr>
      <w:rPr>
        <w:rFonts w:ascii="Wingdings" w:hAnsi="Wingdings" w:hint="default"/>
      </w:rPr>
    </w:lvl>
    <w:lvl w:ilvl="3" w:tplc="E8D6FB58">
      <w:start w:val="1"/>
      <w:numFmt w:val="bullet"/>
      <w:lvlText w:val=""/>
      <w:lvlJc w:val="left"/>
      <w:pPr>
        <w:ind w:left="2880" w:hanging="360"/>
      </w:pPr>
      <w:rPr>
        <w:rFonts w:ascii="Symbol" w:hAnsi="Symbol" w:hint="default"/>
      </w:rPr>
    </w:lvl>
    <w:lvl w:ilvl="4" w:tplc="1BB2C600">
      <w:start w:val="1"/>
      <w:numFmt w:val="bullet"/>
      <w:lvlText w:val="o"/>
      <w:lvlJc w:val="left"/>
      <w:pPr>
        <w:ind w:left="3600" w:hanging="360"/>
      </w:pPr>
      <w:rPr>
        <w:rFonts w:ascii="Courier New" w:hAnsi="Courier New" w:hint="default"/>
      </w:rPr>
    </w:lvl>
    <w:lvl w:ilvl="5" w:tplc="8856D05E">
      <w:start w:val="1"/>
      <w:numFmt w:val="bullet"/>
      <w:lvlText w:val=""/>
      <w:lvlJc w:val="left"/>
      <w:pPr>
        <w:ind w:left="4320" w:hanging="360"/>
      </w:pPr>
      <w:rPr>
        <w:rFonts w:ascii="Wingdings" w:hAnsi="Wingdings" w:hint="default"/>
      </w:rPr>
    </w:lvl>
    <w:lvl w:ilvl="6" w:tplc="24621088">
      <w:start w:val="1"/>
      <w:numFmt w:val="bullet"/>
      <w:lvlText w:val=""/>
      <w:lvlJc w:val="left"/>
      <w:pPr>
        <w:ind w:left="5040" w:hanging="360"/>
      </w:pPr>
      <w:rPr>
        <w:rFonts w:ascii="Symbol" w:hAnsi="Symbol" w:hint="default"/>
      </w:rPr>
    </w:lvl>
    <w:lvl w:ilvl="7" w:tplc="83167018">
      <w:start w:val="1"/>
      <w:numFmt w:val="bullet"/>
      <w:lvlText w:val="o"/>
      <w:lvlJc w:val="left"/>
      <w:pPr>
        <w:ind w:left="5760" w:hanging="360"/>
      </w:pPr>
      <w:rPr>
        <w:rFonts w:ascii="Courier New" w:hAnsi="Courier New" w:hint="default"/>
      </w:rPr>
    </w:lvl>
    <w:lvl w:ilvl="8" w:tplc="CCDA6A82">
      <w:start w:val="1"/>
      <w:numFmt w:val="bullet"/>
      <w:lvlText w:val=""/>
      <w:lvlJc w:val="left"/>
      <w:pPr>
        <w:ind w:left="6480" w:hanging="360"/>
      </w:pPr>
      <w:rPr>
        <w:rFonts w:ascii="Wingdings" w:hAnsi="Wingdings" w:hint="default"/>
      </w:rPr>
    </w:lvl>
  </w:abstractNum>
  <w:abstractNum w:abstractNumId="12" w15:restartNumberingAfterBreak="0">
    <w:nsid w:val="35129374"/>
    <w:multiLevelType w:val="hybridMultilevel"/>
    <w:tmpl w:val="265AB008"/>
    <w:lvl w:ilvl="0" w:tplc="D8049544">
      <w:start w:val="1"/>
      <w:numFmt w:val="bullet"/>
      <w:lvlText w:val=""/>
      <w:lvlJc w:val="left"/>
      <w:pPr>
        <w:ind w:left="720" w:hanging="360"/>
      </w:pPr>
      <w:rPr>
        <w:rFonts w:ascii="Symbol" w:hAnsi="Symbol" w:hint="default"/>
      </w:rPr>
    </w:lvl>
    <w:lvl w:ilvl="1" w:tplc="DCDC94B0">
      <w:start w:val="1"/>
      <w:numFmt w:val="bullet"/>
      <w:lvlText w:val="o"/>
      <w:lvlJc w:val="left"/>
      <w:pPr>
        <w:ind w:left="1440" w:hanging="360"/>
      </w:pPr>
      <w:rPr>
        <w:rFonts w:ascii="Courier New" w:hAnsi="Courier New" w:hint="default"/>
      </w:rPr>
    </w:lvl>
    <w:lvl w:ilvl="2" w:tplc="C8B0A932">
      <w:start w:val="1"/>
      <w:numFmt w:val="bullet"/>
      <w:lvlText w:val=""/>
      <w:lvlJc w:val="left"/>
      <w:pPr>
        <w:ind w:left="2160" w:hanging="360"/>
      </w:pPr>
      <w:rPr>
        <w:rFonts w:ascii="Wingdings" w:hAnsi="Wingdings" w:hint="default"/>
      </w:rPr>
    </w:lvl>
    <w:lvl w:ilvl="3" w:tplc="60A886A6">
      <w:start w:val="1"/>
      <w:numFmt w:val="bullet"/>
      <w:lvlText w:val=""/>
      <w:lvlJc w:val="left"/>
      <w:pPr>
        <w:ind w:left="2880" w:hanging="360"/>
      </w:pPr>
      <w:rPr>
        <w:rFonts w:ascii="Symbol" w:hAnsi="Symbol" w:hint="default"/>
      </w:rPr>
    </w:lvl>
    <w:lvl w:ilvl="4" w:tplc="FA02D994">
      <w:start w:val="1"/>
      <w:numFmt w:val="bullet"/>
      <w:lvlText w:val="o"/>
      <w:lvlJc w:val="left"/>
      <w:pPr>
        <w:ind w:left="3600" w:hanging="360"/>
      </w:pPr>
      <w:rPr>
        <w:rFonts w:ascii="Courier New" w:hAnsi="Courier New" w:hint="default"/>
      </w:rPr>
    </w:lvl>
    <w:lvl w:ilvl="5" w:tplc="8B28EF12">
      <w:start w:val="1"/>
      <w:numFmt w:val="bullet"/>
      <w:lvlText w:val=""/>
      <w:lvlJc w:val="left"/>
      <w:pPr>
        <w:ind w:left="4320" w:hanging="360"/>
      </w:pPr>
      <w:rPr>
        <w:rFonts w:ascii="Wingdings" w:hAnsi="Wingdings" w:hint="default"/>
      </w:rPr>
    </w:lvl>
    <w:lvl w:ilvl="6" w:tplc="248A1572">
      <w:start w:val="1"/>
      <w:numFmt w:val="bullet"/>
      <w:lvlText w:val=""/>
      <w:lvlJc w:val="left"/>
      <w:pPr>
        <w:ind w:left="5040" w:hanging="360"/>
      </w:pPr>
      <w:rPr>
        <w:rFonts w:ascii="Symbol" w:hAnsi="Symbol" w:hint="default"/>
      </w:rPr>
    </w:lvl>
    <w:lvl w:ilvl="7" w:tplc="F76A6326">
      <w:start w:val="1"/>
      <w:numFmt w:val="bullet"/>
      <w:lvlText w:val="o"/>
      <w:lvlJc w:val="left"/>
      <w:pPr>
        <w:ind w:left="5760" w:hanging="360"/>
      </w:pPr>
      <w:rPr>
        <w:rFonts w:ascii="Courier New" w:hAnsi="Courier New" w:hint="default"/>
      </w:rPr>
    </w:lvl>
    <w:lvl w:ilvl="8" w:tplc="3E72F804">
      <w:start w:val="1"/>
      <w:numFmt w:val="bullet"/>
      <w:lvlText w:val=""/>
      <w:lvlJc w:val="left"/>
      <w:pPr>
        <w:ind w:left="6480" w:hanging="360"/>
      </w:pPr>
      <w:rPr>
        <w:rFonts w:ascii="Wingdings" w:hAnsi="Wingdings" w:hint="default"/>
      </w:rPr>
    </w:lvl>
  </w:abstractNum>
  <w:abstractNum w:abstractNumId="13" w15:restartNumberingAfterBreak="0">
    <w:nsid w:val="36D950E4"/>
    <w:multiLevelType w:val="hybridMultilevel"/>
    <w:tmpl w:val="FC76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608F2"/>
    <w:multiLevelType w:val="hybridMultilevel"/>
    <w:tmpl w:val="B06A856A"/>
    <w:lvl w:ilvl="0" w:tplc="9A7882B4">
      <w:start w:val="1"/>
      <w:numFmt w:val="bullet"/>
      <w:lvlText w:val=""/>
      <w:lvlJc w:val="left"/>
      <w:pPr>
        <w:ind w:left="720" w:hanging="360"/>
      </w:pPr>
      <w:rPr>
        <w:rFonts w:ascii="Symbol" w:hAnsi="Symbol" w:hint="default"/>
      </w:rPr>
    </w:lvl>
    <w:lvl w:ilvl="1" w:tplc="C78828F4">
      <w:start w:val="1"/>
      <w:numFmt w:val="bullet"/>
      <w:lvlText w:val="o"/>
      <w:lvlJc w:val="left"/>
      <w:pPr>
        <w:ind w:left="1440" w:hanging="360"/>
      </w:pPr>
      <w:rPr>
        <w:rFonts w:ascii="Courier New" w:hAnsi="Courier New" w:hint="default"/>
      </w:rPr>
    </w:lvl>
    <w:lvl w:ilvl="2" w:tplc="A2EE2770">
      <w:start w:val="1"/>
      <w:numFmt w:val="bullet"/>
      <w:lvlText w:val=""/>
      <w:lvlJc w:val="left"/>
      <w:pPr>
        <w:ind w:left="2160" w:hanging="360"/>
      </w:pPr>
      <w:rPr>
        <w:rFonts w:ascii="Wingdings" w:hAnsi="Wingdings" w:hint="default"/>
      </w:rPr>
    </w:lvl>
    <w:lvl w:ilvl="3" w:tplc="4D508002">
      <w:start w:val="1"/>
      <w:numFmt w:val="bullet"/>
      <w:lvlText w:val=""/>
      <w:lvlJc w:val="left"/>
      <w:pPr>
        <w:ind w:left="2880" w:hanging="360"/>
      </w:pPr>
      <w:rPr>
        <w:rFonts w:ascii="Symbol" w:hAnsi="Symbol" w:hint="default"/>
      </w:rPr>
    </w:lvl>
    <w:lvl w:ilvl="4" w:tplc="4F9EE37E">
      <w:start w:val="1"/>
      <w:numFmt w:val="bullet"/>
      <w:lvlText w:val="o"/>
      <w:lvlJc w:val="left"/>
      <w:pPr>
        <w:ind w:left="3600" w:hanging="360"/>
      </w:pPr>
      <w:rPr>
        <w:rFonts w:ascii="Courier New" w:hAnsi="Courier New" w:hint="default"/>
      </w:rPr>
    </w:lvl>
    <w:lvl w:ilvl="5" w:tplc="EAC4EC98">
      <w:start w:val="1"/>
      <w:numFmt w:val="bullet"/>
      <w:lvlText w:val=""/>
      <w:lvlJc w:val="left"/>
      <w:pPr>
        <w:ind w:left="4320" w:hanging="360"/>
      </w:pPr>
      <w:rPr>
        <w:rFonts w:ascii="Wingdings" w:hAnsi="Wingdings" w:hint="default"/>
      </w:rPr>
    </w:lvl>
    <w:lvl w:ilvl="6" w:tplc="25AA4610">
      <w:start w:val="1"/>
      <w:numFmt w:val="bullet"/>
      <w:lvlText w:val=""/>
      <w:lvlJc w:val="left"/>
      <w:pPr>
        <w:ind w:left="5040" w:hanging="360"/>
      </w:pPr>
      <w:rPr>
        <w:rFonts w:ascii="Symbol" w:hAnsi="Symbol" w:hint="default"/>
      </w:rPr>
    </w:lvl>
    <w:lvl w:ilvl="7" w:tplc="63EA5CAE">
      <w:start w:val="1"/>
      <w:numFmt w:val="bullet"/>
      <w:lvlText w:val="o"/>
      <w:lvlJc w:val="left"/>
      <w:pPr>
        <w:ind w:left="5760" w:hanging="360"/>
      </w:pPr>
      <w:rPr>
        <w:rFonts w:ascii="Courier New" w:hAnsi="Courier New" w:hint="default"/>
      </w:rPr>
    </w:lvl>
    <w:lvl w:ilvl="8" w:tplc="087A9A00">
      <w:start w:val="1"/>
      <w:numFmt w:val="bullet"/>
      <w:lvlText w:val=""/>
      <w:lvlJc w:val="left"/>
      <w:pPr>
        <w:ind w:left="6480" w:hanging="360"/>
      </w:pPr>
      <w:rPr>
        <w:rFonts w:ascii="Wingdings" w:hAnsi="Wingdings" w:hint="default"/>
      </w:rPr>
    </w:lvl>
  </w:abstractNum>
  <w:abstractNum w:abstractNumId="15" w15:restartNumberingAfterBreak="0">
    <w:nsid w:val="394B1F29"/>
    <w:multiLevelType w:val="hybridMultilevel"/>
    <w:tmpl w:val="3D681C30"/>
    <w:lvl w:ilvl="0" w:tplc="E48A1302">
      <w:start w:val="1"/>
      <w:numFmt w:val="decimal"/>
      <w:lvlText w:val="%1."/>
      <w:lvlJc w:val="left"/>
      <w:pPr>
        <w:ind w:left="720" w:hanging="360"/>
      </w:pPr>
    </w:lvl>
    <w:lvl w:ilvl="1" w:tplc="8C74CA26">
      <w:start w:val="1"/>
      <w:numFmt w:val="lowerLetter"/>
      <w:lvlText w:val="%2."/>
      <w:lvlJc w:val="left"/>
      <w:pPr>
        <w:ind w:left="1440" w:hanging="360"/>
      </w:pPr>
    </w:lvl>
    <w:lvl w:ilvl="2" w:tplc="C2467924">
      <w:start w:val="1"/>
      <w:numFmt w:val="lowerRoman"/>
      <w:lvlText w:val="%3."/>
      <w:lvlJc w:val="right"/>
      <w:pPr>
        <w:ind w:left="2160" w:hanging="180"/>
      </w:pPr>
    </w:lvl>
    <w:lvl w:ilvl="3" w:tplc="C9E019C0">
      <w:start w:val="1"/>
      <w:numFmt w:val="decimal"/>
      <w:lvlText w:val="%4."/>
      <w:lvlJc w:val="left"/>
      <w:pPr>
        <w:ind w:left="2880" w:hanging="360"/>
      </w:pPr>
    </w:lvl>
    <w:lvl w:ilvl="4" w:tplc="2F787CA6">
      <w:start w:val="1"/>
      <w:numFmt w:val="lowerLetter"/>
      <w:lvlText w:val="%5."/>
      <w:lvlJc w:val="left"/>
      <w:pPr>
        <w:ind w:left="3600" w:hanging="360"/>
      </w:pPr>
    </w:lvl>
    <w:lvl w:ilvl="5" w:tplc="69A2DFDC">
      <w:start w:val="1"/>
      <w:numFmt w:val="lowerRoman"/>
      <w:lvlText w:val="%6."/>
      <w:lvlJc w:val="right"/>
      <w:pPr>
        <w:ind w:left="4320" w:hanging="180"/>
      </w:pPr>
    </w:lvl>
    <w:lvl w:ilvl="6" w:tplc="BCB60640">
      <w:start w:val="1"/>
      <w:numFmt w:val="decimal"/>
      <w:lvlText w:val="%7."/>
      <w:lvlJc w:val="left"/>
      <w:pPr>
        <w:ind w:left="5040" w:hanging="360"/>
      </w:pPr>
    </w:lvl>
    <w:lvl w:ilvl="7" w:tplc="2EDC217E">
      <w:start w:val="1"/>
      <w:numFmt w:val="lowerLetter"/>
      <w:lvlText w:val="%8."/>
      <w:lvlJc w:val="left"/>
      <w:pPr>
        <w:ind w:left="5760" w:hanging="360"/>
      </w:pPr>
    </w:lvl>
    <w:lvl w:ilvl="8" w:tplc="6AA25696">
      <w:start w:val="1"/>
      <w:numFmt w:val="lowerRoman"/>
      <w:lvlText w:val="%9."/>
      <w:lvlJc w:val="right"/>
      <w:pPr>
        <w:ind w:left="6480" w:hanging="180"/>
      </w:pPr>
    </w:lvl>
  </w:abstractNum>
  <w:abstractNum w:abstractNumId="16" w15:restartNumberingAfterBreak="0">
    <w:nsid w:val="50B32328"/>
    <w:multiLevelType w:val="hybridMultilevel"/>
    <w:tmpl w:val="B6A69C80"/>
    <w:lvl w:ilvl="0" w:tplc="731A4AE8">
      <w:start w:val="1"/>
      <w:numFmt w:val="bullet"/>
      <w:lvlText w:val=""/>
      <w:lvlJc w:val="left"/>
      <w:pPr>
        <w:ind w:left="720" w:hanging="360"/>
      </w:pPr>
      <w:rPr>
        <w:rFonts w:ascii="Symbol" w:hAnsi="Symbol" w:hint="default"/>
      </w:rPr>
    </w:lvl>
    <w:lvl w:ilvl="1" w:tplc="35DA529C">
      <w:start w:val="1"/>
      <w:numFmt w:val="bullet"/>
      <w:lvlText w:val="o"/>
      <w:lvlJc w:val="left"/>
      <w:pPr>
        <w:ind w:left="1440" w:hanging="360"/>
      </w:pPr>
      <w:rPr>
        <w:rFonts w:ascii="Courier New" w:hAnsi="Courier New" w:hint="default"/>
      </w:rPr>
    </w:lvl>
    <w:lvl w:ilvl="2" w:tplc="81948958">
      <w:start w:val="1"/>
      <w:numFmt w:val="bullet"/>
      <w:lvlText w:val=""/>
      <w:lvlJc w:val="left"/>
      <w:pPr>
        <w:ind w:left="2160" w:hanging="360"/>
      </w:pPr>
      <w:rPr>
        <w:rFonts w:ascii="Wingdings" w:hAnsi="Wingdings" w:hint="default"/>
      </w:rPr>
    </w:lvl>
    <w:lvl w:ilvl="3" w:tplc="8D1E2584">
      <w:start w:val="1"/>
      <w:numFmt w:val="bullet"/>
      <w:lvlText w:val=""/>
      <w:lvlJc w:val="left"/>
      <w:pPr>
        <w:ind w:left="2880" w:hanging="360"/>
      </w:pPr>
      <w:rPr>
        <w:rFonts w:ascii="Symbol" w:hAnsi="Symbol" w:hint="default"/>
      </w:rPr>
    </w:lvl>
    <w:lvl w:ilvl="4" w:tplc="9ED499EA">
      <w:start w:val="1"/>
      <w:numFmt w:val="bullet"/>
      <w:lvlText w:val="o"/>
      <w:lvlJc w:val="left"/>
      <w:pPr>
        <w:ind w:left="3600" w:hanging="360"/>
      </w:pPr>
      <w:rPr>
        <w:rFonts w:ascii="Courier New" w:hAnsi="Courier New" w:hint="default"/>
      </w:rPr>
    </w:lvl>
    <w:lvl w:ilvl="5" w:tplc="3252D50A">
      <w:start w:val="1"/>
      <w:numFmt w:val="bullet"/>
      <w:lvlText w:val=""/>
      <w:lvlJc w:val="left"/>
      <w:pPr>
        <w:ind w:left="4320" w:hanging="360"/>
      </w:pPr>
      <w:rPr>
        <w:rFonts w:ascii="Wingdings" w:hAnsi="Wingdings" w:hint="default"/>
      </w:rPr>
    </w:lvl>
    <w:lvl w:ilvl="6" w:tplc="7938F706">
      <w:start w:val="1"/>
      <w:numFmt w:val="bullet"/>
      <w:lvlText w:val=""/>
      <w:lvlJc w:val="left"/>
      <w:pPr>
        <w:ind w:left="5040" w:hanging="360"/>
      </w:pPr>
      <w:rPr>
        <w:rFonts w:ascii="Symbol" w:hAnsi="Symbol" w:hint="default"/>
      </w:rPr>
    </w:lvl>
    <w:lvl w:ilvl="7" w:tplc="2E6A0A96">
      <w:start w:val="1"/>
      <w:numFmt w:val="bullet"/>
      <w:lvlText w:val="o"/>
      <w:lvlJc w:val="left"/>
      <w:pPr>
        <w:ind w:left="5760" w:hanging="360"/>
      </w:pPr>
      <w:rPr>
        <w:rFonts w:ascii="Courier New" w:hAnsi="Courier New" w:hint="default"/>
      </w:rPr>
    </w:lvl>
    <w:lvl w:ilvl="8" w:tplc="8B385C6A">
      <w:start w:val="1"/>
      <w:numFmt w:val="bullet"/>
      <w:lvlText w:val=""/>
      <w:lvlJc w:val="left"/>
      <w:pPr>
        <w:ind w:left="6480" w:hanging="360"/>
      </w:pPr>
      <w:rPr>
        <w:rFonts w:ascii="Wingdings" w:hAnsi="Wingdings" w:hint="default"/>
      </w:rPr>
    </w:lvl>
  </w:abstractNum>
  <w:abstractNum w:abstractNumId="17" w15:restartNumberingAfterBreak="0">
    <w:nsid w:val="5DD1583C"/>
    <w:multiLevelType w:val="hybridMultilevel"/>
    <w:tmpl w:val="8278B51A"/>
    <w:lvl w:ilvl="0" w:tplc="37447E32">
      <w:start w:val="1"/>
      <w:numFmt w:val="bullet"/>
      <w:lvlText w:val=""/>
      <w:lvlJc w:val="left"/>
      <w:pPr>
        <w:ind w:left="720" w:hanging="360"/>
      </w:pPr>
      <w:rPr>
        <w:rFonts w:ascii="Symbol" w:hAnsi="Symbol" w:hint="default"/>
      </w:rPr>
    </w:lvl>
    <w:lvl w:ilvl="1" w:tplc="A7A4DA54">
      <w:start w:val="1"/>
      <w:numFmt w:val="bullet"/>
      <w:lvlText w:val="o"/>
      <w:lvlJc w:val="left"/>
      <w:pPr>
        <w:ind w:left="1440" w:hanging="360"/>
      </w:pPr>
      <w:rPr>
        <w:rFonts w:ascii="Courier New" w:hAnsi="Courier New" w:hint="default"/>
      </w:rPr>
    </w:lvl>
    <w:lvl w:ilvl="2" w:tplc="67BE6C6E">
      <w:start w:val="1"/>
      <w:numFmt w:val="bullet"/>
      <w:lvlText w:val=""/>
      <w:lvlJc w:val="left"/>
      <w:pPr>
        <w:ind w:left="2160" w:hanging="360"/>
      </w:pPr>
      <w:rPr>
        <w:rFonts w:ascii="Wingdings" w:hAnsi="Wingdings" w:hint="default"/>
      </w:rPr>
    </w:lvl>
    <w:lvl w:ilvl="3" w:tplc="45C62ECC">
      <w:start w:val="1"/>
      <w:numFmt w:val="bullet"/>
      <w:lvlText w:val=""/>
      <w:lvlJc w:val="left"/>
      <w:pPr>
        <w:ind w:left="2880" w:hanging="360"/>
      </w:pPr>
      <w:rPr>
        <w:rFonts w:ascii="Symbol" w:hAnsi="Symbol" w:hint="default"/>
      </w:rPr>
    </w:lvl>
    <w:lvl w:ilvl="4" w:tplc="AF9C6DDA">
      <w:start w:val="1"/>
      <w:numFmt w:val="bullet"/>
      <w:lvlText w:val="o"/>
      <w:lvlJc w:val="left"/>
      <w:pPr>
        <w:ind w:left="3600" w:hanging="360"/>
      </w:pPr>
      <w:rPr>
        <w:rFonts w:ascii="Courier New" w:hAnsi="Courier New" w:hint="default"/>
      </w:rPr>
    </w:lvl>
    <w:lvl w:ilvl="5" w:tplc="9FBA47BA">
      <w:start w:val="1"/>
      <w:numFmt w:val="bullet"/>
      <w:lvlText w:val=""/>
      <w:lvlJc w:val="left"/>
      <w:pPr>
        <w:ind w:left="4320" w:hanging="360"/>
      </w:pPr>
      <w:rPr>
        <w:rFonts w:ascii="Wingdings" w:hAnsi="Wingdings" w:hint="default"/>
      </w:rPr>
    </w:lvl>
    <w:lvl w:ilvl="6" w:tplc="06BA68C0">
      <w:start w:val="1"/>
      <w:numFmt w:val="bullet"/>
      <w:lvlText w:val=""/>
      <w:lvlJc w:val="left"/>
      <w:pPr>
        <w:ind w:left="5040" w:hanging="360"/>
      </w:pPr>
      <w:rPr>
        <w:rFonts w:ascii="Symbol" w:hAnsi="Symbol" w:hint="default"/>
      </w:rPr>
    </w:lvl>
    <w:lvl w:ilvl="7" w:tplc="03923640">
      <w:start w:val="1"/>
      <w:numFmt w:val="bullet"/>
      <w:lvlText w:val="o"/>
      <w:lvlJc w:val="left"/>
      <w:pPr>
        <w:ind w:left="5760" w:hanging="360"/>
      </w:pPr>
      <w:rPr>
        <w:rFonts w:ascii="Courier New" w:hAnsi="Courier New" w:hint="default"/>
      </w:rPr>
    </w:lvl>
    <w:lvl w:ilvl="8" w:tplc="854053D4">
      <w:start w:val="1"/>
      <w:numFmt w:val="bullet"/>
      <w:lvlText w:val=""/>
      <w:lvlJc w:val="left"/>
      <w:pPr>
        <w:ind w:left="6480" w:hanging="360"/>
      </w:pPr>
      <w:rPr>
        <w:rFonts w:ascii="Wingdings" w:hAnsi="Wingdings" w:hint="default"/>
      </w:rPr>
    </w:lvl>
  </w:abstractNum>
  <w:abstractNum w:abstractNumId="18" w15:restartNumberingAfterBreak="0">
    <w:nsid w:val="5FE276A1"/>
    <w:multiLevelType w:val="hybridMultilevel"/>
    <w:tmpl w:val="D5360D4E"/>
    <w:lvl w:ilvl="0" w:tplc="AC547E20">
      <w:start w:val="1"/>
      <w:numFmt w:val="bullet"/>
      <w:lvlText w:val=""/>
      <w:lvlJc w:val="left"/>
      <w:pPr>
        <w:ind w:left="720" w:hanging="360"/>
      </w:pPr>
      <w:rPr>
        <w:rFonts w:ascii="Symbol" w:hAnsi="Symbol" w:hint="default"/>
      </w:rPr>
    </w:lvl>
    <w:lvl w:ilvl="1" w:tplc="1F52137A">
      <w:start w:val="1"/>
      <w:numFmt w:val="bullet"/>
      <w:lvlText w:val="o"/>
      <w:lvlJc w:val="left"/>
      <w:pPr>
        <w:ind w:left="1440" w:hanging="360"/>
      </w:pPr>
      <w:rPr>
        <w:rFonts w:ascii="Courier New" w:hAnsi="Courier New" w:hint="default"/>
      </w:rPr>
    </w:lvl>
    <w:lvl w:ilvl="2" w:tplc="7DA0E050">
      <w:start w:val="1"/>
      <w:numFmt w:val="bullet"/>
      <w:lvlText w:val=""/>
      <w:lvlJc w:val="left"/>
      <w:pPr>
        <w:ind w:left="2160" w:hanging="360"/>
      </w:pPr>
      <w:rPr>
        <w:rFonts w:ascii="Wingdings" w:hAnsi="Wingdings" w:hint="default"/>
      </w:rPr>
    </w:lvl>
    <w:lvl w:ilvl="3" w:tplc="E0467704">
      <w:start w:val="1"/>
      <w:numFmt w:val="bullet"/>
      <w:lvlText w:val=""/>
      <w:lvlJc w:val="left"/>
      <w:pPr>
        <w:ind w:left="2880" w:hanging="360"/>
      </w:pPr>
      <w:rPr>
        <w:rFonts w:ascii="Symbol" w:hAnsi="Symbol" w:hint="default"/>
      </w:rPr>
    </w:lvl>
    <w:lvl w:ilvl="4" w:tplc="3E6C1B0E">
      <w:start w:val="1"/>
      <w:numFmt w:val="bullet"/>
      <w:lvlText w:val="o"/>
      <w:lvlJc w:val="left"/>
      <w:pPr>
        <w:ind w:left="3600" w:hanging="360"/>
      </w:pPr>
      <w:rPr>
        <w:rFonts w:ascii="Courier New" w:hAnsi="Courier New" w:hint="default"/>
      </w:rPr>
    </w:lvl>
    <w:lvl w:ilvl="5" w:tplc="2A30FD08">
      <w:start w:val="1"/>
      <w:numFmt w:val="bullet"/>
      <w:lvlText w:val=""/>
      <w:lvlJc w:val="left"/>
      <w:pPr>
        <w:ind w:left="4320" w:hanging="360"/>
      </w:pPr>
      <w:rPr>
        <w:rFonts w:ascii="Wingdings" w:hAnsi="Wingdings" w:hint="default"/>
      </w:rPr>
    </w:lvl>
    <w:lvl w:ilvl="6" w:tplc="E05E24F4">
      <w:start w:val="1"/>
      <w:numFmt w:val="bullet"/>
      <w:lvlText w:val=""/>
      <w:lvlJc w:val="left"/>
      <w:pPr>
        <w:ind w:left="5040" w:hanging="360"/>
      </w:pPr>
      <w:rPr>
        <w:rFonts w:ascii="Symbol" w:hAnsi="Symbol" w:hint="default"/>
      </w:rPr>
    </w:lvl>
    <w:lvl w:ilvl="7" w:tplc="18F86B7A">
      <w:start w:val="1"/>
      <w:numFmt w:val="bullet"/>
      <w:lvlText w:val="o"/>
      <w:lvlJc w:val="left"/>
      <w:pPr>
        <w:ind w:left="5760" w:hanging="360"/>
      </w:pPr>
      <w:rPr>
        <w:rFonts w:ascii="Courier New" w:hAnsi="Courier New" w:hint="default"/>
      </w:rPr>
    </w:lvl>
    <w:lvl w:ilvl="8" w:tplc="B874C316">
      <w:start w:val="1"/>
      <w:numFmt w:val="bullet"/>
      <w:lvlText w:val=""/>
      <w:lvlJc w:val="left"/>
      <w:pPr>
        <w:ind w:left="6480" w:hanging="360"/>
      </w:pPr>
      <w:rPr>
        <w:rFonts w:ascii="Wingdings" w:hAnsi="Wingdings" w:hint="default"/>
      </w:rPr>
    </w:lvl>
  </w:abstractNum>
  <w:abstractNum w:abstractNumId="19" w15:restartNumberingAfterBreak="0">
    <w:nsid w:val="607006C5"/>
    <w:multiLevelType w:val="hybridMultilevel"/>
    <w:tmpl w:val="B93A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8503FC"/>
    <w:multiLevelType w:val="hybridMultilevel"/>
    <w:tmpl w:val="288258E0"/>
    <w:lvl w:ilvl="0" w:tplc="0F686E7E">
      <w:start w:val="1"/>
      <w:numFmt w:val="bullet"/>
      <w:lvlText w:val=""/>
      <w:lvlJc w:val="left"/>
      <w:pPr>
        <w:ind w:left="720" w:hanging="360"/>
      </w:pPr>
      <w:rPr>
        <w:rFonts w:ascii="Wingdings" w:hAnsi="Wingdings" w:hint="default"/>
      </w:rPr>
    </w:lvl>
    <w:lvl w:ilvl="1" w:tplc="78060B50">
      <w:start w:val="1"/>
      <w:numFmt w:val="bullet"/>
      <w:lvlText w:val="o"/>
      <w:lvlJc w:val="left"/>
      <w:pPr>
        <w:ind w:left="1440" w:hanging="360"/>
      </w:pPr>
      <w:rPr>
        <w:rFonts w:ascii="Courier New" w:hAnsi="Courier New" w:hint="default"/>
      </w:rPr>
    </w:lvl>
    <w:lvl w:ilvl="2" w:tplc="700CD96C">
      <w:start w:val="1"/>
      <w:numFmt w:val="bullet"/>
      <w:lvlText w:val=""/>
      <w:lvlJc w:val="left"/>
      <w:pPr>
        <w:ind w:left="2160" w:hanging="360"/>
      </w:pPr>
      <w:rPr>
        <w:rFonts w:ascii="Wingdings" w:hAnsi="Wingdings" w:hint="default"/>
      </w:rPr>
    </w:lvl>
    <w:lvl w:ilvl="3" w:tplc="90D484EC">
      <w:start w:val="1"/>
      <w:numFmt w:val="bullet"/>
      <w:lvlText w:val=""/>
      <w:lvlJc w:val="left"/>
      <w:pPr>
        <w:ind w:left="2880" w:hanging="360"/>
      </w:pPr>
      <w:rPr>
        <w:rFonts w:ascii="Symbol" w:hAnsi="Symbol" w:hint="default"/>
      </w:rPr>
    </w:lvl>
    <w:lvl w:ilvl="4" w:tplc="B374FE8A">
      <w:start w:val="1"/>
      <w:numFmt w:val="bullet"/>
      <w:lvlText w:val="o"/>
      <w:lvlJc w:val="left"/>
      <w:pPr>
        <w:ind w:left="3600" w:hanging="360"/>
      </w:pPr>
      <w:rPr>
        <w:rFonts w:ascii="Courier New" w:hAnsi="Courier New" w:hint="default"/>
      </w:rPr>
    </w:lvl>
    <w:lvl w:ilvl="5" w:tplc="7F8EED98">
      <w:start w:val="1"/>
      <w:numFmt w:val="bullet"/>
      <w:lvlText w:val=""/>
      <w:lvlJc w:val="left"/>
      <w:pPr>
        <w:ind w:left="4320" w:hanging="360"/>
      </w:pPr>
      <w:rPr>
        <w:rFonts w:ascii="Wingdings" w:hAnsi="Wingdings" w:hint="default"/>
      </w:rPr>
    </w:lvl>
    <w:lvl w:ilvl="6" w:tplc="A91C22A4">
      <w:start w:val="1"/>
      <w:numFmt w:val="bullet"/>
      <w:lvlText w:val=""/>
      <w:lvlJc w:val="left"/>
      <w:pPr>
        <w:ind w:left="5040" w:hanging="360"/>
      </w:pPr>
      <w:rPr>
        <w:rFonts w:ascii="Symbol" w:hAnsi="Symbol" w:hint="default"/>
      </w:rPr>
    </w:lvl>
    <w:lvl w:ilvl="7" w:tplc="77740EE2">
      <w:start w:val="1"/>
      <w:numFmt w:val="bullet"/>
      <w:lvlText w:val="o"/>
      <w:lvlJc w:val="left"/>
      <w:pPr>
        <w:ind w:left="5760" w:hanging="360"/>
      </w:pPr>
      <w:rPr>
        <w:rFonts w:ascii="Courier New" w:hAnsi="Courier New" w:hint="default"/>
      </w:rPr>
    </w:lvl>
    <w:lvl w:ilvl="8" w:tplc="7AA0E65E">
      <w:start w:val="1"/>
      <w:numFmt w:val="bullet"/>
      <w:lvlText w:val=""/>
      <w:lvlJc w:val="left"/>
      <w:pPr>
        <w:ind w:left="6480" w:hanging="360"/>
      </w:pPr>
      <w:rPr>
        <w:rFonts w:ascii="Wingdings" w:hAnsi="Wingdings" w:hint="default"/>
      </w:rPr>
    </w:lvl>
  </w:abstractNum>
  <w:abstractNum w:abstractNumId="21" w15:restartNumberingAfterBreak="0">
    <w:nsid w:val="6A197EA8"/>
    <w:multiLevelType w:val="hybridMultilevel"/>
    <w:tmpl w:val="FFFFFFFF"/>
    <w:lvl w:ilvl="0" w:tplc="6EBA5166">
      <w:start w:val="1"/>
      <w:numFmt w:val="bullet"/>
      <w:lvlText w:val=""/>
      <w:lvlJc w:val="left"/>
      <w:pPr>
        <w:ind w:left="720" w:hanging="360"/>
      </w:pPr>
      <w:rPr>
        <w:rFonts w:ascii="Symbol" w:hAnsi="Symbol" w:hint="default"/>
      </w:rPr>
    </w:lvl>
    <w:lvl w:ilvl="1" w:tplc="2D78BB70">
      <w:start w:val="1"/>
      <w:numFmt w:val="bullet"/>
      <w:lvlText w:val="o"/>
      <w:lvlJc w:val="left"/>
      <w:pPr>
        <w:ind w:left="1440" w:hanging="360"/>
      </w:pPr>
      <w:rPr>
        <w:rFonts w:ascii="Courier New" w:hAnsi="Courier New" w:hint="default"/>
      </w:rPr>
    </w:lvl>
    <w:lvl w:ilvl="2" w:tplc="2CBC81D8">
      <w:start w:val="1"/>
      <w:numFmt w:val="bullet"/>
      <w:lvlText w:val=""/>
      <w:lvlJc w:val="left"/>
      <w:pPr>
        <w:ind w:left="2160" w:hanging="360"/>
      </w:pPr>
      <w:rPr>
        <w:rFonts w:ascii="Wingdings" w:hAnsi="Wingdings" w:hint="default"/>
      </w:rPr>
    </w:lvl>
    <w:lvl w:ilvl="3" w:tplc="B27CB36C">
      <w:start w:val="1"/>
      <w:numFmt w:val="bullet"/>
      <w:lvlText w:val=""/>
      <w:lvlJc w:val="left"/>
      <w:pPr>
        <w:ind w:left="2880" w:hanging="360"/>
      </w:pPr>
      <w:rPr>
        <w:rFonts w:ascii="Symbol" w:hAnsi="Symbol" w:hint="default"/>
      </w:rPr>
    </w:lvl>
    <w:lvl w:ilvl="4" w:tplc="BC42BEC6">
      <w:start w:val="1"/>
      <w:numFmt w:val="bullet"/>
      <w:lvlText w:val="o"/>
      <w:lvlJc w:val="left"/>
      <w:pPr>
        <w:ind w:left="3600" w:hanging="360"/>
      </w:pPr>
      <w:rPr>
        <w:rFonts w:ascii="Courier New" w:hAnsi="Courier New" w:hint="default"/>
      </w:rPr>
    </w:lvl>
    <w:lvl w:ilvl="5" w:tplc="5FBE6772">
      <w:start w:val="1"/>
      <w:numFmt w:val="bullet"/>
      <w:lvlText w:val=""/>
      <w:lvlJc w:val="left"/>
      <w:pPr>
        <w:ind w:left="4320" w:hanging="360"/>
      </w:pPr>
      <w:rPr>
        <w:rFonts w:ascii="Wingdings" w:hAnsi="Wingdings" w:hint="default"/>
      </w:rPr>
    </w:lvl>
    <w:lvl w:ilvl="6" w:tplc="E578CD36">
      <w:start w:val="1"/>
      <w:numFmt w:val="bullet"/>
      <w:lvlText w:val=""/>
      <w:lvlJc w:val="left"/>
      <w:pPr>
        <w:ind w:left="5040" w:hanging="360"/>
      </w:pPr>
      <w:rPr>
        <w:rFonts w:ascii="Symbol" w:hAnsi="Symbol" w:hint="default"/>
      </w:rPr>
    </w:lvl>
    <w:lvl w:ilvl="7" w:tplc="2F0AF2A2">
      <w:start w:val="1"/>
      <w:numFmt w:val="bullet"/>
      <w:lvlText w:val="o"/>
      <w:lvlJc w:val="left"/>
      <w:pPr>
        <w:ind w:left="5760" w:hanging="360"/>
      </w:pPr>
      <w:rPr>
        <w:rFonts w:ascii="Courier New" w:hAnsi="Courier New" w:hint="default"/>
      </w:rPr>
    </w:lvl>
    <w:lvl w:ilvl="8" w:tplc="D68E98D8">
      <w:start w:val="1"/>
      <w:numFmt w:val="bullet"/>
      <w:lvlText w:val=""/>
      <w:lvlJc w:val="left"/>
      <w:pPr>
        <w:ind w:left="6480" w:hanging="360"/>
      </w:pPr>
      <w:rPr>
        <w:rFonts w:ascii="Wingdings" w:hAnsi="Wingdings" w:hint="default"/>
      </w:rPr>
    </w:lvl>
  </w:abstractNum>
  <w:abstractNum w:abstractNumId="22" w15:restartNumberingAfterBreak="0">
    <w:nsid w:val="753C5657"/>
    <w:multiLevelType w:val="hybridMultilevel"/>
    <w:tmpl w:val="286C4344"/>
    <w:lvl w:ilvl="0" w:tplc="F3BE805C">
      <w:start w:val="1"/>
      <w:numFmt w:val="bullet"/>
      <w:lvlText w:val=""/>
      <w:lvlJc w:val="left"/>
      <w:pPr>
        <w:ind w:left="720" w:hanging="360"/>
      </w:pPr>
      <w:rPr>
        <w:rFonts w:ascii="Symbol" w:hAnsi="Symbol" w:hint="default"/>
      </w:rPr>
    </w:lvl>
    <w:lvl w:ilvl="1" w:tplc="CAD03944">
      <w:start w:val="1"/>
      <w:numFmt w:val="bullet"/>
      <w:lvlText w:val="o"/>
      <w:lvlJc w:val="left"/>
      <w:pPr>
        <w:ind w:left="1440" w:hanging="360"/>
      </w:pPr>
      <w:rPr>
        <w:rFonts w:ascii="Courier New" w:hAnsi="Courier New" w:hint="default"/>
      </w:rPr>
    </w:lvl>
    <w:lvl w:ilvl="2" w:tplc="6C649620">
      <w:start w:val="1"/>
      <w:numFmt w:val="bullet"/>
      <w:lvlText w:val=""/>
      <w:lvlJc w:val="left"/>
      <w:pPr>
        <w:ind w:left="2160" w:hanging="360"/>
      </w:pPr>
      <w:rPr>
        <w:rFonts w:ascii="Wingdings" w:hAnsi="Wingdings" w:hint="default"/>
      </w:rPr>
    </w:lvl>
    <w:lvl w:ilvl="3" w:tplc="E59C343A">
      <w:start w:val="1"/>
      <w:numFmt w:val="bullet"/>
      <w:lvlText w:val=""/>
      <w:lvlJc w:val="left"/>
      <w:pPr>
        <w:ind w:left="2880" w:hanging="360"/>
      </w:pPr>
      <w:rPr>
        <w:rFonts w:ascii="Symbol" w:hAnsi="Symbol" w:hint="default"/>
      </w:rPr>
    </w:lvl>
    <w:lvl w:ilvl="4" w:tplc="EF16AE5A">
      <w:start w:val="1"/>
      <w:numFmt w:val="bullet"/>
      <w:lvlText w:val="o"/>
      <w:lvlJc w:val="left"/>
      <w:pPr>
        <w:ind w:left="3600" w:hanging="360"/>
      </w:pPr>
      <w:rPr>
        <w:rFonts w:ascii="Courier New" w:hAnsi="Courier New" w:hint="default"/>
      </w:rPr>
    </w:lvl>
    <w:lvl w:ilvl="5" w:tplc="1ED67C92">
      <w:start w:val="1"/>
      <w:numFmt w:val="bullet"/>
      <w:lvlText w:val=""/>
      <w:lvlJc w:val="left"/>
      <w:pPr>
        <w:ind w:left="4320" w:hanging="360"/>
      </w:pPr>
      <w:rPr>
        <w:rFonts w:ascii="Symbol" w:hAnsi="Symbol" w:hint="default"/>
      </w:rPr>
    </w:lvl>
    <w:lvl w:ilvl="6" w:tplc="79FEA904">
      <w:start w:val="1"/>
      <w:numFmt w:val="bullet"/>
      <w:lvlText w:val=""/>
      <w:lvlJc w:val="left"/>
      <w:pPr>
        <w:ind w:left="5040" w:hanging="360"/>
      </w:pPr>
      <w:rPr>
        <w:rFonts w:ascii="Symbol" w:hAnsi="Symbol" w:hint="default"/>
      </w:rPr>
    </w:lvl>
    <w:lvl w:ilvl="7" w:tplc="81C4A2D6">
      <w:start w:val="1"/>
      <w:numFmt w:val="bullet"/>
      <w:lvlText w:val="o"/>
      <w:lvlJc w:val="left"/>
      <w:pPr>
        <w:ind w:left="5760" w:hanging="360"/>
      </w:pPr>
      <w:rPr>
        <w:rFonts w:ascii="Courier New" w:hAnsi="Courier New" w:hint="default"/>
      </w:rPr>
    </w:lvl>
    <w:lvl w:ilvl="8" w:tplc="6F465BEC">
      <w:start w:val="1"/>
      <w:numFmt w:val="bullet"/>
      <w:lvlText w:val=""/>
      <w:lvlJc w:val="left"/>
      <w:pPr>
        <w:ind w:left="6480" w:hanging="360"/>
      </w:pPr>
      <w:rPr>
        <w:rFonts w:ascii="Wingdings" w:hAnsi="Wingdings" w:hint="default"/>
      </w:rPr>
    </w:lvl>
  </w:abstractNum>
  <w:abstractNum w:abstractNumId="23" w15:restartNumberingAfterBreak="0">
    <w:nsid w:val="76142966"/>
    <w:multiLevelType w:val="hybridMultilevel"/>
    <w:tmpl w:val="D85246EA"/>
    <w:lvl w:ilvl="0" w:tplc="EEE2FCF8">
      <w:start w:val="1"/>
      <w:numFmt w:val="bullet"/>
      <w:lvlText w:val=""/>
      <w:lvlJc w:val="left"/>
      <w:pPr>
        <w:ind w:left="720" w:hanging="360"/>
      </w:pPr>
      <w:rPr>
        <w:rFonts w:ascii="Symbol" w:hAnsi="Symbol" w:hint="default"/>
      </w:rPr>
    </w:lvl>
    <w:lvl w:ilvl="1" w:tplc="75F482AE">
      <w:start w:val="1"/>
      <w:numFmt w:val="bullet"/>
      <w:lvlText w:val="o"/>
      <w:lvlJc w:val="left"/>
      <w:pPr>
        <w:ind w:left="1440" w:hanging="360"/>
      </w:pPr>
      <w:rPr>
        <w:rFonts w:ascii="Courier New" w:hAnsi="Courier New" w:hint="default"/>
      </w:rPr>
    </w:lvl>
    <w:lvl w:ilvl="2" w:tplc="C19857EE">
      <w:start w:val="1"/>
      <w:numFmt w:val="bullet"/>
      <w:lvlText w:val=""/>
      <w:lvlJc w:val="left"/>
      <w:pPr>
        <w:ind w:left="2160" w:hanging="360"/>
      </w:pPr>
      <w:rPr>
        <w:rFonts w:ascii="Wingdings" w:hAnsi="Wingdings" w:hint="default"/>
      </w:rPr>
    </w:lvl>
    <w:lvl w:ilvl="3" w:tplc="B2947B46">
      <w:start w:val="1"/>
      <w:numFmt w:val="bullet"/>
      <w:lvlText w:val=""/>
      <w:lvlJc w:val="left"/>
      <w:pPr>
        <w:ind w:left="2880" w:hanging="360"/>
      </w:pPr>
      <w:rPr>
        <w:rFonts w:ascii="Symbol" w:hAnsi="Symbol" w:hint="default"/>
      </w:rPr>
    </w:lvl>
    <w:lvl w:ilvl="4" w:tplc="8E140858">
      <w:start w:val="1"/>
      <w:numFmt w:val="bullet"/>
      <w:lvlText w:val="o"/>
      <w:lvlJc w:val="left"/>
      <w:pPr>
        <w:ind w:left="3600" w:hanging="360"/>
      </w:pPr>
      <w:rPr>
        <w:rFonts w:ascii="Courier New" w:hAnsi="Courier New" w:hint="default"/>
      </w:rPr>
    </w:lvl>
    <w:lvl w:ilvl="5" w:tplc="5AFA9302">
      <w:start w:val="1"/>
      <w:numFmt w:val="bullet"/>
      <w:lvlText w:val=""/>
      <w:lvlJc w:val="left"/>
      <w:pPr>
        <w:ind w:left="4320" w:hanging="360"/>
      </w:pPr>
      <w:rPr>
        <w:rFonts w:ascii="Wingdings" w:hAnsi="Wingdings" w:hint="default"/>
      </w:rPr>
    </w:lvl>
    <w:lvl w:ilvl="6" w:tplc="5ABE7CE4">
      <w:start w:val="1"/>
      <w:numFmt w:val="bullet"/>
      <w:lvlText w:val=""/>
      <w:lvlJc w:val="left"/>
      <w:pPr>
        <w:ind w:left="5040" w:hanging="360"/>
      </w:pPr>
      <w:rPr>
        <w:rFonts w:ascii="Symbol" w:hAnsi="Symbol" w:hint="default"/>
      </w:rPr>
    </w:lvl>
    <w:lvl w:ilvl="7" w:tplc="D0E0C4F4">
      <w:start w:val="1"/>
      <w:numFmt w:val="bullet"/>
      <w:lvlText w:val="o"/>
      <w:lvlJc w:val="left"/>
      <w:pPr>
        <w:ind w:left="5760" w:hanging="360"/>
      </w:pPr>
      <w:rPr>
        <w:rFonts w:ascii="Courier New" w:hAnsi="Courier New" w:hint="default"/>
      </w:rPr>
    </w:lvl>
    <w:lvl w:ilvl="8" w:tplc="639CD162">
      <w:start w:val="1"/>
      <w:numFmt w:val="bullet"/>
      <w:lvlText w:val=""/>
      <w:lvlJc w:val="left"/>
      <w:pPr>
        <w:ind w:left="6480" w:hanging="360"/>
      </w:pPr>
      <w:rPr>
        <w:rFonts w:ascii="Wingdings" w:hAnsi="Wingdings" w:hint="default"/>
      </w:rPr>
    </w:lvl>
  </w:abstractNum>
  <w:abstractNum w:abstractNumId="24" w15:restartNumberingAfterBreak="0">
    <w:nsid w:val="7985D435"/>
    <w:multiLevelType w:val="hybridMultilevel"/>
    <w:tmpl w:val="B548313C"/>
    <w:lvl w:ilvl="0" w:tplc="420ADC58">
      <w:start w:val="1"/>
      <w:numFmt w:val="bullet"/>
      <w:lvlText w:val="§"/>
      <w:lvlJc w:val="left"/>
      <w:pPr>
        <w:ind w:left="720" w:hanging="360"/>
      </w:pPr>
      <w:rPr>
        <w:rFonts w:ascii="Wingdings" w:hAnsi="Wingdings" w:hint="default"/>
      </w:rPr>
    </w:lvl>
    <w:lvl w:ilvl="1" w:tplc="C5EEE0A8">
      <w:start w:val="1"/>
      <w:numFmt w:val="bullet"/>
      <w:lvlText w:val="o"/>
      <w:lvlJc w:val="left"/>
      <w:pPr>
        <w:ind w:left="1440" w:hanging="360"/>
      </w:pPr>
      <w:rPr>
        <w:rFonts w:ascii="Courier New" w:hAnsi="Courier New" w:hint="default"/>
      </w:rPr>
    </w:lvl>
    <w:lvl w:ilvl="2" w:tplc="3E24564A">
      <w:start w:val="1"/>
      <w:numFmt w:val="bullet"/>
      <w:lvlText w:val=""/>
      <w:lvlJc w:val="left"/>
      <w:pPr>
        <w:ind w:left="2160" w:hanging="360"/>
      </w:pPr>
      <w:rPr>
        <w:rFonts w:ascii="Wingdings" w:hAnsi="Wingdings" w:hint="default"/>
      </w:rPr>
    </w:lvl>
    <w:lvl w:ilvl="3" w:tplc="C4520122">
      <w:start w:val="1"/>
      <w:numFmt w:val="bullet"/>
      <w:lvlText w:val=""/>
      <w:lvlJc w:val="left"/>
      <w:pPr>
        <w:ind w:left="2880" w:hanging="360"/>
      </w:pPr>
      <w:rPr>
        <w:rFonts w:ascii="Symbol" w:hAnsi="Symbol" w:hint="default"/>
      </w:rPr>
    </w:lvl>
    <w:lvl w:ilvl="4" w:tplc="CBB6BF46">
      <w:start w:val="1"/>
      <w:numFmt w:val="bullet"/>
      <w:lvlText w:val="o"/>
      <w:lvlJc w:val="left"/>
      <w:pPr>
        <w:ind w:left="3600" w:hanging="360"/>
      </w:pPr>
      <w:rPr>
        <w:rFonts w:ascii="Courier New" w:hAnsi="Courier New" w:hint="default"/>
      </w:rPr>
    </w:lvl>
    <w:lvl w:ilvl="5" w:tplc="80969240">
      <w:start w:val="1"/>
      <w:numFmt w:val="bullet"/>
      <w:lvlText w:val=""/>
      <w:lvlJc w:val="left"/>
      <w:pPr>
        <w:ind w:left="4320" w:hanging="360"/>
      </w:pPr>
      <w:rPr>
        <w:rFonts w:ascii="Wingdings" w:hAnsi="Wingdings" w:hint="default"/>
      </w:rPr>
    </w:lvl>
    <w:lvl w:ilvl="6" w:tplc="26560F34">
      <w:start w:val="1"/>
      <w:numFmt w:val="bullet"/>
      <w:lvlText w:val=""/>
      <w:lvlJc w:val="left"/>
      <w:pPr>
        <w:ind w:left="5040" w:hanging="360"/>
      </w:pPr>
      <w:rPr>
        <w:rFonts w:ascii="Symbol" w:hAnsi="Symbol" w:hint="default"/>
      </w:rPr>
    </w:lvl>
    <w:lvl w:ilvl="7" w:tplc="A6208F8C">
      <w:start w:val="1"/>
      <w:numFmt w:val="bullet"/>
      <w:lvlText w:val="o"/>
      <w:lvlJc w:val="left"/>
      <w:pPr>
        <w:ind w:left="5760" w:hanging="360"/>
      </w:pPr>
      <w:rPr>
        <w:rFonts w:ascii="Courier New" w:hAnsi="Courier New" w:hint="default"/>
      </w:rPr>
    </w:lvl>
    <w:lvl w:ilvl="8" w:tplc="6E0098C4">
      <w:start w:val="1"/>
      <w:numFmt w:val="bullet"/>
      <w:lvlText w:val=""/>
      <w:lvlJc w:val="left"/>
      <w:pPr>
        <w:ind w:left="6480" w:hanging="360"/>
      </w:pPr>
      <w:rPr>
        <w:rFonts w:ascii="Wingdings" w:hAnsi="Wingdings" w:hint="default"/>
      </w:rPr>
    </w:lvl>
  </w:abstractNum>
  <w:abstractNum w:abstractNumId="25" w15:restartNumberingAfterBreak="0">
    <w:nsid w:val="7E3F075B"/>
    <w:multiLevelType w:val="hybridMultilevel"/>
    <w:tmpl w:val="9970FA8A"/>
    <w:lvl w:ilvl="0" w:tplc="27E84354">
      <w:start w:val="1"/>
      <w:numFmt w:val="bullet"/>
      <w:lvlText w:val=""/>
      <w:lvlJc w:val="left"/>
      <w:pPr>
        <w:ind w:left="720" w:hanging="360"/>
      </w:pPr>
      <w:rPr>
        <w:rFonts w:ascii="Symbol" w:hAnsi="Symbol" w:hint="default"/>
      </w:rPr>
    </w:lvl>
    <w:lvl w:ilvl="1" w:tplc="46BA9D36">
      <w:start w:val="1"/>
      <w:numFmt w:val="bullet"/>
      <w:lvlText w:val="o"/>
      <w:lvlJc w:val="left"/>
      <w:pPr>
        <w:ind w:left="1440" w:hanging="360"/>
      </w:pPr>
      <w:rPr>
        <w:rFonts w:ascii="Courier New" w:hAnsi="Courier New" w:hint="default"/>
      </w:rPr>
    </w:lvl>
    <w:lvl w:ilvl="2" w:tplc="B9B4B972">
      <w:start w:val="1"/>
      <w:numFmt w:val="bullet"/>
      <w:lvlText w:val=""/>
      <w:lvlJc w:val="left"/>
      <w:pPr>
        <w:ind w:left="2160" w:hanging="360"/>
      </w:pPr>
      <w:rPr>
        <w:rFonts w:ascii="Wingdings" w:hAnsi="Wingdings" w:hint="default"/>
      </w:rPr>
    </w:lvl>
    <w:lvl w:ilvl="3" w:tplc="CAA0F004">
      <w:start w:val="1"/>
      <w:numFmt w:val="bullet"/>
      <w:lvlText w:val=""/>
      <w:lvlJc w:val="left"/>
      <w:pPr>
        <w:ind w:left="2880" w:hanging="360"/>
      </w:pPr>
      <w:rPr>
        <w:rFonts w:ascii="Symbol" w:hAnsi="Symbol" w:hint="default"/>
      </w:rPr>
    </w:lvl>
    <w:lvl w:ilvl="4" w:tplc="52E6AA9C">
      <w:start w:val="1"/>
      <w:numFmt w:val="bullet"/>
      <w:lvlText w:val="o"/>
      <w:lvlJc w:val="left"/>
      <w:pPr>
        <w:ind w:left="3600" w:hanging="360"/>
      </w:pPr>
      <w:rPr>
        <w:rFonts w:ascii="Courier New" w:hAnsi="Courier New" w:hint="default"/>
      </w:rPr>
    </w:lvl>
    <w:lvl w:ilvl="5" w:tplc="8C7C1AD8">
      <w:start w:val="1"/>
      <w:numFmt w:val="bullet"/>
      <w:lvlText w:val=""/>
      <w:lvlJc w:val="left"/>
      <w:pPr>
        <w:ind w:left="4320" w:hanging="360"/>
      </w:pPr>
      <w:rPr>
        <w:rFonts w:ascii="Wingdings" w:hAnsi="Wingdings" w:hint="default"/>
      </w:rPr>
    </w:lvl>
    <w:lvl w:ilvl="6" w:tplc="1B749772">
      <w:start w:val="1"/>
      <w:numFmt w:val="bullet"/>
      <w:lvlText w:val=""/>
      <w:lvlJc w:val="left"/>
      <w:pPr>
        <w:ind w:left="5040" w:hanging="360"/>
      </w:pPr>
      <w:rPr>
        <w:rFonts w:ascii="Symbol" w:hAnsi="Symbol" w:hint="default"/>
      </w:rPr>
    </w:lvl>
    <w:lvl w:ilvl="7" w:tplc="8B9ED188">
      <w:start w:val="1"/>
      <w:numFmt w:val="bullet"/>
      <w:lvlText w:val="o"/>
      <w:lvlJc w:val="left"/>
      <w:pPr>
        <w:ind w:left="5760" w:hanging="360"/>
      </w:pPr>
      <w:rPr>
        <w:rFonts w:ascii="Courier New" w:hAnsi="Courier New" w:hint="default"/>
      </w:rPr>
    </w:lvl>
    <w:lvl w:ilvl="8" w:tplc="DB8E5DF2">
      <w:start w:val="1"/>
      <w:numFmt w:val="bullet"/>
      <w:lvlText w:val=""/>
      <w:lvlJc w:val="left"/>
      <w:pPr>
        <w:ind w:left="6480" w:hanging="360"/>
      </w:pPr>
      <w:rPr>
        <w:rFonts w:ascii="Wingdings" w:hAnsi="Wingdings" w:hint="default"/>
      </w:rPr>
    </w:lvl>
  </w:abstractNum>
  <w:num w:numId="1" w16cid:durableId="805129255">
    <w:abstractNumId w:val="18"/>
  </w:num>
  <w:num w:numId="2" w16cid:durableId="900562183">
    <w:abstractNumId w:val="24"/>
  </w:num>
  <w:num w:numId="3" w16cid:durableId="1545213206">
    <w:abstractNumId w:val="12"/>
  </w:num>
  <w:num w:numId="4" w16cid:durableId="245769336">
    <w:abstractNumId w:val="7"/>
  </w:num>
  <w:num w:numId="5" w16cid:durableId="1178691156">
    <w:abstractNumId w:val="23"/>
  </w:num>
  <w:num w:numId="6" w16cid:durableId="1856916864">
    <w:abstractNumId w:val="8"/>
  </w:num>
  <w:num w:numId="7" w16cid:durableId="1536698142">
    <w:abstractNumId w:val="11"/>
  </w:num>
  <w:num w:numId="8" w16cid:durableId="1532721309">
    <w:abstractNumId w:val="14"/>
  </w:num>
  <w:num w:numId="9" w16cid:durableId="15272736">
    <w:abstractNumId w:val="10"/>
  </w:num>
  <w:num w:numId="10" w16cid:durableId="2090494193">
    <w:abstractNumId w:val="22"/>
  </w:num>
  <w:num w:numId="11" w16cid:durableId="717431849">
    <w:abstractNumId w:val="20"/>
  </w:num>
  <w:num w:numId="12" w16cid:durableId="1925335304">
    <w:abstractNumId w:val="3"/>
  </w:num>
  <w:num w:numId="13" w16cid:durableId="2025354713">
    <w:abstractNumId w:val="2"/>
  </w:num>
  <w:num w:numId="14" w16cid:durableId="1361660321">
    <w:abstractNumId w:val="25"/>
  </w:num>
  <w:num w:numId="15" w16cid:durableId="1884903957">
    <w:abstractNumId w:val="15"/>
  </w:num>
  <w:num w:numId="16" w16cid:durableId="568224956">
    <w:abstractNumId w:val="4"/>
  </w:num>
  <w:num w:numId="17" w16cid:durableId="775566802">
    <w:abstractNumId w:val="1"/>
  </w:num>
  <w:num w:numId="18" w16cid:durableId="2081948647">
    <w:abstractNumId w:val="16"/>
  </w:num>
  <w:num w:numId="19" w16cid:durableId="1481969724">
    <w:abstractNumId w:val="17"/>
  </w:num>
  <w:num w:numId="20" w16cid:durableId="328292547">
    <w:abstractNumId w:val="9"/>
  </w:num>
  <w:num w:numId="21" w16cid:durableId="5257997">
    <w:abstractNumId w:val="0"/>
  </w:num>
  <w:num w:numId="22" w16cid:durableId="868565735">
    <w:abstractNumId w:val="21"/>
  </w:num>
  <w:num w:numId="23" w16cid:durableId="1597324336">
    <w:abstractNumId w:val="6"/>
  </w:num>
  <w:num w:numId="24" w16cid:durableId="1341734246">
    <w:abstractNumId w:val="19"/>
  </w:num>
  <w:num w:numId="25" w16cid:durableId="661079088">
    <w:abstractNumId w:val="5"/>
  </w:num>
  <w:num w:numId="26" w16cid:durableId="523130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40"/>
    <w:rsid w:val="00040CF6"/>
    <w:rsid w:val="000719BC"/>
    <w:rsid w:val="00097340"/>
    <w:rsid w:val="000B5540"/>
    <w:rsid w:val="000C27B8"/>
    <w:rsid w:val="000F052F"/>
    <w:rsid w:val="00102C0A"/>
    <w:rsid w:val="00122F6C"/>
    <w:rsid w:val="00127FE5"/>
    <w:rsid w:val="00137CDB"/>
    <w:rsid w:val="00164F05"/>
    <w:rsid w:val="0018656D"/>
    <w:rsid w:val="001C6573"/>
    <w:rsid w:val="002564DE"/>
    <w:rsid w:val="00261933"/>
    <w:rsid w:val="00280292"/>
    <w:rsid w:val="002937BB"/>
    <w:rsid w:val="002B473F"/>
    <w:rsid w:val="002C1148"/>
    <w:rsid w:val="002C2FFA"/>
    <w:rsid w:val="002D6594"/>
    <w:rsid w:val="002E622A"/>
    <w:rsid w:val="00313CE4"/>
    <w:rsid w:val="003154AF"/>
    <w:rsid w:val="0034473F"/>
    <w:rsid w:val="00364CD8"/>
    <w:rsid w:val="00371584"/>
    <w:rsid w:val="00383269"/>
    <w:rsid w:val="003846CA"/>
    <w:rsid w:val="003A3205"/>
    <w:rsid w:val="003C3196"/>
    <w:rsid w:val="003D38CF"/>
    <w:rsid w:val="003D3BB7"/>
    <w:rsid w:val="003D7D60"/>
    <w:rsid w:val="003E4D00"/>
    <w:rsid w:val="00400E8F"/>
    <w:rsid w:val="0046555C"/>
    <w:rsid w:val="004778F8"/>
    <w:rsid w:val="00492044"/>
    <w:rsid w:val="004D7324"/>
    <w:rsid w:val="004E2799"/>
    <w:rsid w:val="004F532A"/>
    <w:rsid w:val="0056613C"/>
    <w:rsid w:val="00571ACD"/>
    <w:rsid w:val="00611F49"/>
    <w:rsid w:val="006178D7"/>
    <w:rsid w:val="00647307"/>
    <w:rsid w:val="0068170B"/>
    <w:rsid w:val="006C70BB"/>
    <w:rsid w:val="00706C18"/>
    <w:rsid w:val="00710E9E"/>
    <w:rsid w:val="00711D6D"/>
    <w:rsid w:val="00730D2A"/>
    <w:rsid w:val="007506E5"/>
    <w:rsid w:val="00755136"/>
    <w:rsid w:val="007574FE"/>
    <w:rsid w:val="00786624"/>
    <w:rsid w:val="00791877"/>
    <w:rsid w:val="007E16E2"/>
    <w:rsid w:val="007E46D4"/>
    <w:rsid w:val="007E7D6B"/>
    <w:rsid w:val="008831AC"/>
    <w:rsid w:val="008B0B02"/>
    <w:rsid w:val="008E4055"/>
    <w:rsid w:val="009144F1"/>
    <w:rsid w:val="00946BF6"/>
    <w:rsid w:val="00985F97"/>
    <w:rsid w:val="009B283A"/>
    <w:rsid w:val="009D65CC"/>
    <w:rsid w:val="009F1AFB"/>
    <w:rsid w:val="009F644B"/>
    <w:rsid w:val="00A0170D"/>
    <w:rsid w:val="00A108FA"/>
    <w:rsid w:val="00A2349B"/>
    <w:rsid w:val="00A3336B"/>
    <w:rsid w:val="00A51BB0"/>
    <w:rsid w:val="00A6065A"/>
    <w:rsid w:val="00A945A5"/>
    <w:rsid w:val="00AA2E80"/>
    <w:rsid w:val="00AB2BC5"/>
    <w:rsid w:val="00AB69A2"/>
    <w:rsid w:val="00AB70A7"/>
    <w:rsid w:val="00AC1E3A"/>
    <w:rsid w:val="00AE0CC0"/>
    <w:rsid w:val="00B01E9B"/>
    <w:rsid w:val="00B10F65"/>
    <w:rsid w:val="00B35502"/>
    <w:rsid w:val="00B749FA"/>
    <w:rsid w:val="00B857E9"/>
    <w:rsid w:val="00BA108B"/>
    <w:rsid w:val="00BC3943"/>
    <w:rsid w:val="00BD4B8C"/>
    <w:rsid w:val="00C87B21"/>
    <w:rsid w:val="00CA26F6"/>
    <w:rsid w:val="00CB09E1"/>
    <w:rsid w:val="00CB2EA1"/>
    <w:rsid w:val="00CB77E7"/>
    <w:rsid w:val="00D03484"/>
    <w:rsid w:val="00D3522C"/>
    <w:rsid w:val="00D36803"/>
    <w:rsid w:val="00D438BF"/>
    <w:rsid w:val="00D440E6"/>
    <w:rsid w:val="00D478BC"/>
    <w:rsid w:val="00D665ED"/>
    <w:rsid w:val="00D73739"/>
    <w:rsid w:val="00D77A6F"/>
    <w:rsid w:val="00D77CAD"/>
    <w:rsid w:val="00D929A4"/>
    <w:rsid w:val="00DA70C3"/>
    <w:rsid w:val="00E2031B"/>
    <w:rsid w:val="00E2118F"/>
    <w:rsid w:val="00E27D93"/>
    <w:rsid w:val="00E30E2D"/>
    <w:rsid w:val="00E41EB5"/>
    <w:rsid w:val="00E94B83"/>
    <w:rsid w:val="00ED2CB6"/>
    <w:rsid w:val="00F13A65"/>
    <w:rsid w:val="00F14710"/>
    <w:rsid w:val="00F25D71"/>
    <w:rsid w:val="00F55EE5"/>
    <w:rsid w:val="00F5691A"/>
    <w:rsid w:val="00F7275A"/>
    <w:rsid w:val="00F95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36B030"/>
  <w15:docId w15:val="{8F03314E-B0C2-0241-8E61-D8D98377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40" w:lineRule="auto"/>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line="240" w:lineRule="auto"/>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line="240"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B09E1"/>
    <w:rPr>
      <w:color w:val="0000FF" w:themeColor="hyperlink"/>
      <w:u w:val="single"/>
    </w:rPr>
  </w:style>
  <w:style w:type="character" w:styleId="UnresolvedMention">
    <w:name w:val="Unresolved Mention"/>
    <w:basedOn w:val="DefaultParagraphFont"/>
    <w:uiPriority w:val="99"/>
    <w:semiHidden/>
    <w:unhideWhenUsed/>
    <w:rsid w:val="00CB09E1"/>
    <w:rPr>
      <w:color w:val="605E5C"/>
      <w:shd w:val="clear" w:color="auto" w:fill="E1DFDD"/>
    </w:rPr>
  </w:style>
  <w:style w:type="paragraph" w:styleId="Revision">
    <w:name w:val="Revision"/>
    <w:hidden/>
    <w:uiPriority w:val="99"/>
    <w:semiHidden/>
    <w:rsid w:val="00CB09E1"/>
    <w:pPr>
      <w:spacing w:line="240" w:lineRule="auto"/>
    </w:pPr>
  </w:style>
  <w:style w:type="paragraph" w:styleId="Header">
    <w:name w:val="header"/>
    <w:basedOn w:val="Normal"/>
    <w:link w:val="HeaderChar"/>
    <w:uiPriority w:val="99"/>
    <w:unhideWhenUsed/>
    <w:rsid w:val="00AB2BC5"/>
    <w:pPr>
      <w:tabs>
        <w:tab w:val="center" w:pos="4513"/>
        <w:tab w:val="right" w:pos="9026"/>
      </w:tabs>
      <w:spacing w:line="240" w:lineRule="auto"/>
    </w:pPr>
  </w:style>
  <w:style w:type="character" w:customStyle="1" w:styleId="HeaderChar">
    <w:name w:val="Header Char"/>
    <w:basedOn w:val="DefaultParagraphFont"/>
    <w:link w:val="Header"/>
    <w:uiPriority w:val="99"/>
    <w:rsid w:val="00AB2BC5"/>
  </w:style>
  <w:style w:type="paragraph" w:styleId="Footer">
    <w:name w:val="footer"/>
    <w:basedOn w:val="Normal"/>
    <w:link w:val="FooterChar"/>
    <w:uiPriority w:val="99"/>
    <w:unhideWhenUsed/>
    <w:rsid w:val="00AB2BC5"/>
    <w:pPr>
      <w:tabs>
        <w:tab w:val="center" w:pos="4513"/>
        <w:tab w:val="right" w:pos="9026"/>
      </w:tabs>
      <w:spacing w:line="240" w:lineRule="auto"/>
    </w:pPr>
  </w:style>
  <w:style w:type="character" w:customStyle="1" w:styleId="FooterChar">
    <w:name w:val="Footer Char"/>
    <w:basedOn w:val="DefaultParagraphFont"/>
    <w:link w:val="Footer"/>
    <w:uiPriority w:val="99"/>
    <w:rsid w:val="00AB2BC5"/>
  </w:style>
  <w:style w:type="paragraph" w:styleId="ListParagraph">
    <w:name w:val="List Paragraph"/>
    <w:basedOn w:val="Normal"/>
    <w:uiPriority w:val="34"/>
    <w:qFormat/>
    <w:rsid w:val="00AB2BC5"/>
    <w:pPr>
      <w:spacing w:after="160"/>
      <w:ind w:left="720"/>
      <w:contextualSpacing/>
    </w:pPr>
    <w:rPr>
      <w:rFonts w:asciiTheme="minorHAnsi" w:eastAsiaTheme="minorHAnsi" w:hAnsiTheme="minorHAnsi" w:cstheme="minorBidi"/>
      <w:lang w:val="en-US" w:eastAsia="en-US"/>
    </w:rPr>
  </w:style>
  <w:style w:type="paragraph" w:styleId="CommentText">
    <w:name w:val="annotation text"/>
    <w:basedOn w:val="Normal"/>
    <w:link w:val="CommentTextChar"/>
    <w:uiPriority w:val="99"/>
    <w:unhideWhenUsed/>
    <w:rsid w:val="00AB2BC5"/>
    <w:pPr>
      <w:spacing w:after="160" w:line="240" w:lineRule="auto"/>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AB2BC5"/>
    <w:rPr>
      <w:rFonts w:asciiTheme="minorHAnsi" w:eastAsiaTheme="minorHAnsi" w:hAnsiTheme="minorHAnsi" w:cstheme="minorBidi"/>
      <w:sz w:val="20"/>
      <w:szCs w:val="20"/>
      <w:lang w:val="en-US" w:eastAsia="en-US"/>
    </w:rPr>
  </w:style>
  <w:style w:type="character" w:styleId="CommentReference">
    <w:name w:val="annotation reference"/>
    <w:basedOn w:val="DefaultParagraphFont"/>
    <w:uiPriority w:val="99"/>
    <w:semiHidden/>
    <w:unhideWhenUsed/>
    <w:rsid w:val="00AB2BC5"/>
    <w:rPr>
      <w:sz w:val="16"/>
      <w:szCs w:val="16"/>
    </w:rPr>
  </w:style>
  <w:style w:type="table" w:styleId="TableGrid">
    <w:name w:val="Table Grid"/>
    <w:basedOn w:val="TableNormal"/>
    <w:uiPriority w:val="59"/>
    <w:rsid w:val="00AB2BC5"/>
    <w:pPr>
      <w:spacing w:line="240" w:lineRule="auto"/>
    </w:pPr>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B2BC5"/>
    <w:pPr>
      <w:spacing w:line="240" w:lineRule="auto"/>
    </w:pPr>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AB2BC5"/>
    <w:rPr>
      <w:rFonts w:ascii="Segoe UI" w:eastAsiaTheme="minorHAns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AB2BC5"/>
    <w:rPr>
      <w:b/>
      <w:bCs/>
    </w:rPr>
  </w:style>
  <w:style w:type="character" w:customStyle="1" w:styleId="CommentSubjectChar">
    <w:name w:val="Comment Subject Char"/>
    <w:basedOn w:val="CommentTextChar"/>
    <w:link w:val="CommentSubject"/>
    <w:uiPriority w:val="99"/>
    <w:semiHidden/>
    <w:rsid w:val="00AB2BC5"/>
    <w:rPr>
      <w:rFonts w:asciiTheme="minorHAnsi" w:eastAsiaTheme="minorHAnsi" w:hAnsiTheme="minorHAnsi" w:cstheme="minorBidi"/>
      <w:b/>
      <w:bCs/>
      <w:sz w:val="20"/>
      <w:szCs w:val="20"/>
      <w:lang w:val="en-US" w:eastAsia="en-US"/>
    </w:rPr>
  </w:style>
  <w:style w:type="table" w:styleId="PlainTable1">
    <w:name w:val="Plain Table 1"/>
    <w:basedOn w:val="TableNormal"/>
    <w:uiPriority w:val="41"/>
    <w:rsid w:val="00AB2BC5"/>
    <w:pPr>
      <w:spacing w:line="240" w:lineRule="auto"/>
    </w:pPr>
    <w:rPr>
      <w:rFonts w:asciiTheme="minorHAnsi" w:eastAsiaTheme="minorHAnsi" w:hAnsiTheme="minorHAnsi" w:cstheme="minorBidi"/>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ighlight">
    <w:name w:val="highlight"/>
    <w:basedOn w:val="DefaultParagraphFont"/>
    <w:rsid w:val="00AB2BC5"/>
  </w:style>
  <w:style w:type="character" w:customStyle="1" w:styleId="Mention1">
    <w:name w:val="Mention1"/>
    <w:basedOn w:val="DefaultParagraphFont"/>
    <w:uiPriority w:val="99"/>
    <w:unhideWhenUsed/>
    <w:rsid w:val="00AB2BC5"/>
    <w:rPr>
      <w:color w:val="2B579A"/>
      <w:shd w:val="clear" w:color="auto" w:fill="E6E6E6"/>
    </w:rPr>
  </w:style>
  <w:style w:type="paragraph" w:styleId="Bibliography">
    <w:name w:val="Bibliography"/>
    <w:basedOn w:val="Normal"/>
    <w:next w:val="Normal"/>
    <w:uiPriority w:val="37"/>
    <w:unhideWhenUsed/>
    <w:rsid w:val="00AB2BC5"/>
    <w:pPr>
      <w:spacing w:line="480" w:lineRule="auto"/>
      <w:ind w:left="720" w:hanging="720"/>
    </w:pPr>
    <w:rPr>
      <w:rFonts w:asciiTheme="minorHAnsi" w:eastAsiaTheme="minorHAnsi" w:hAnsiTheme="minorHAnsi" w:cstheme="minorBidi"/>
      <w:lang w:val="en-US" w:eastAsia="en-US"/>
    </w:rPr>
  </w:style>
  <w:style w:type="character" w:customStyle="1" w:styleId="UnresolvedMention1">
    <w:name w:val="Unresolved Mention1"/>
    <w:basedOn w:val="DefaultParagraphFont"/>
    <w:uiPriority w:val="99"/>
    <w:semiHidden/>
    <w:unhideWhenUsed/>
    <w:rsid w:val="00AB2BC5"/>
    <w:rPr>
      <w:color w:val="605E5C"/>
      <w:shd w:val="clear" w:color="auto" w:fill="E1DFDD"/>
    </w:rPr>
  </w:style>
  <w:style w:type="table" w:customStyle="1" w:styleId="TableGrid1">
    <w:name w:val="Table Grid1"/>
    <w:basedOn w:val="TableNormal"/>
    <w:next w:val="TableGrid"/>
    <w:uiPriority w:val="59"/>
    <w:rsid w:val="007574FE"/>
    <w:pPr>
      <w:spacing w:line="240" w:lineRule="auto"/>
    </w:pPr>
    <w:rPr>
      <w:rFonts w:asciiTheme="minorHAnsi" w:eastAsiaTheme="minorHAnsi" w:hAnsiTheme="minorHAnsi" w:cstheme="minorBid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2C11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jamaevidence.mhmedical.com/content.aspx?aid=1183875650" TargetMode="External"/><Relationship Id="rId21" Type="http://schemas.openxmlformats.org/officeDocument/2006/relationships/hyperlink" Target="mailto:montanna.barnett@und.edu" TargetMode="External"/><Relationship Id="rId42" Type="http://schemas.openxmlformats.org/officeDocument/2006/relationships/hyperlink" Target="https://doi.org/10.1080/00048623.2011.10722219" TargetMode="External"/><Relationship Id="rId47" Type="http://schemas.openxmlformats.org/officeDocument/2006/relationships/hyperlink" Target="https://doi.org/10.1353/pla.2019.0007" TargetMode="External"/><Relationship Id="rId63" Type="http://schemas.openxmlformats.org/officeDocument/2006/relationships/hyperlink" Target="https://doi.org/10.1080/02763869.2013.749720" TargetMode="External"/><Relationship Id="rId68" Type="http://schemas.openxmlformats.org/officeDocument/2006/relationships/hyperlink" Target="https://openaccess.city.ac.uk/id/eprint/17370" TargetMode="External"/><Relationship Id="rId84" Type="http://schemas.openxmlformats.org/officeDocument/2006/relationships/footer" Target="footer2.xml"/><Relationship Id="rId16" Type="http://schemas.openxmlformats.org/officeDocument/2006/relationships/hyperlink" Target="mailto:syarbrough1@une.edu" TargetMode="External"/><Relationship Id="rId11" Type="http://schemas.openxmlformats.org/officeDocument/2006/relationships/hyperlink" Target="mailto:devon.olson.2@und.edu" TargetMode="External"/><Relationship Id="rId32" Type="http://schemas.openxmlformats.org/officeDocument/2006/relationships/hyperlink" Target="https://www.ala.org/acrl/standards/standardslibraries" TargetMode="External"/><Relationship Id="rId37" Type="http://schemas.openxmlformats.org/officeDocument/2006/relationships/hyperlink" Target="https://doi.org/10.1111/j.1471-1842.2011.00953.x" TargetMode="External"/><Relationship Id="rId53" Type="http://schemas.openxmlformats.org/officeDocument/2006/relationships/hyperlink" Target="https://doi.org/10.1080/0142159X.2020.1854704" TargetMode="External"/><Relationship Id="rId58" Type="http://schemas.openxmlformats.org/officeDocument/2006/relationships/hyperlink" Target="https://scholarworks.sjsu.edu/sla_io_2010/6" TargetMode="External"/><Relationship Id="rId74" Type="http://schemas.openxmlformats.org/officeDocument/2006/relationships/hyperlink" Target="https://doi.org/10.1353/pla.2016.0041" TargetMode="External"/><Relationship Id="rId79" Type="http://schemas.openxmlformats.org/officeDocument/2006/relationships/hyperlink" Target="https://commons.und.edu/oers/6" TargetMode="External"/><Relationship Id="rId5" Type="http://schemas.openxmlformats.org/officeDocument/2006/relationships/webSettings" Target="webSettings.xml"/><Relationship Id="rId19" Type="http://schemas.openxmlformats.org/officeDocument/2006/relationships/hyperlink" Target="mailto:megan.denis@und.edu" TargetMode="External"/><Relationship Id="rId14" Type="http://schemas.openxmlformats.org/officeDocument/2006/relationships/hyperlink" Target="mailto:sandi.bates@und.edu" TargetMode="External"/><Relationship Id="rId22" Type="http://schemas.openxmlformats.org/officeDocument/2006/relationships/image" Target="media/image2.emf"/><Relationship Id="rId27" Type="http://schemas.openxmlformats.org/officeDocument/2006/relationships/hyperlink" Target="https://doi.org/10.1080/1533290X.2016.1193416" TargetMode="External"/><Relationship Id="rId30" Type="http://schemas.openxmlformats.org/officeDocument/2006/relationships/hyperlink" Target="https://doi.org/10.1080/10668926.2016.1147395" TargetMode="External"/><Relationship Id="rId35" Type="http://schemas.openxmlformats.org/officeDocument/2006/relationships/hyperlink" Target="https://doi.org/10.1016/j.acalib.2015.09.003" TargetMode="External"/><Relationship Id="rId43" Type="http://schemas.openxmlformats.org/officeDocument/2006/relationships/hyperlink" Target="https://infolit.org.uk/new-il-definition/" TargetMode="External"/><Relationship Id="rId48" Type="http://schemas.openxmlformats.org/officeDocument/2006/relationships/hyperlink" Target="https://doi.org/10.18438/eblip29588" TargetMode="External"/><Relationship Id="rId56" Type="http://schemas.openxmlformats.org/officeDocument/2006/relationships/hyperlink" Target="https://doi.org/10.15845/noril.v9i1.231" TargetMode="External"/><Relationship Id="rId64" Type="http://schemas.openxmlformats.org/officeDocument/2006/relationships/hyperlink" Target="https://doi.org/10.22329/celt.v10i0.4765" TargetMode="External"/><Relationship Id="rId69" Type="http://schemas.openxmlformats.org/officeDocument/2006/relationships/hyperlink" Target="https://doi.org/10.1080/02763869.2018.1404388" TargetMode="External"/><Relationship Id="rId77" Type="http://schemas.openxmlformats.org/officeDocument/2006/relationships/hyperlink" Target="https://doi.org/10.1108/00907321111186703" TargetMode="External"/><Relationship Id="rId8" Type="http://schemas.openxmlformats.org/officeDocument/2006/relationships/hyperlink" Target="http://dx.doi.org/10.11645/17.1.3319" TargetMode="External"/><Relationship Id="rId51" Type="http://schemas.openxmlformats.org/officeDocument/2006/relationships/hyperlink" Target="https://doi.org/10.15760/comminfolit.2016.10.2.26" TargetMode="External"/><Relationship Id="rId72" Type="http://schemas.openxmlformats.org/officeDocument/2006/relationships/hyperlink" Target="https://doi.org/10.1080/0142159X.2018.1481282" TargetMode="External"/><Relationship Id="rId80" Type="http://schemas.openxmlformats.org/officeDocument/2006/relationships/hyperlink" Target="https://doi.org/10.1080/01930826.2018.1448648"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orcid.org/0000-0002-1682-0199" TargetMode="External"/><Relationship Id="rId17" Type="http://schemas.openxmlformats.org/officeDocument/2006/relationships/hyperlink" Target="https://orcid.org/0009-0004-7384-3276" TargetMode="External"/><Relationship Id="rId25" Type="http://schemas.openxmlformats.org/officeDocument/2006/relationships/hyperlink" Target="https://doi.org/10.5860/crl12-417" TargetMode="External"/><Relationship Id="rId33" Type="http://schemas.openxmlformats.org/officeDocument/2006/relationships/hyperlink" Target="https://www.ala.org/acrl/standards/ilframework" TargetMode="External"/><Relationship Id="rId38" Type="http://schemas.openxmlformats.org/officeDocument/2006/relationships/hyperlink" Target="https://doi.org/10.11645/7.1.1785" TargetMode="External"/><Relationship Id="rId46" Type="http://schemas.openxmlformats.org/officeDocument/2006/relationships/hyperlink" Target="https://doi.org/10.11645/7.1.1813" TargetMode="External"/><Relationship Id="rId59" Type="http://schemas.openxmlformats.org/officeDocument/2006/relationships/hyperlink" Target="https://doi.org/10.15760/comminfolit.2007.1.1.5" TargetMode="External"/><Relationship Id="rId67" Type="http://schemas.openxmlformats.org/officeDocument/2006/relationships/hyperlink" Target="http://dx.doi.org/10.1136/bmj.312.7023.71" TargetMode="External"/><Relationship Id="rId20" Type="http://schemas.openxmlformats.org/officeDocument/2006/relationships/hyperlink" Target="http://orcid.org/0000-0002-8923-5863" TargetMode="External"/><Relationship Id="rId41" Type="http://schemas.openxmlformats.org/officeDocument/2006/relationships/hyperlink" Target="https://adbu.fr/wp-content/uploads/2013/02/Infolit-2nd-edition.pdf" TargetMode="External"/><Relationship Id="rId54" Type="http://schemas.openxmlformats.org/officeDocument/2006/relationships/hyperlink" Target="https://doi.org/10.1080/01421590120036547" TargetMode="External"/><Relationship Id="rId62" Type="http://schemas.openxmlformats.org/officeDocument/2006/relationships/hyperlink" Target="https://doi.org/10.1097/XEB.0000000000000050" TargetMode="External"/><Relationship Id="rId70" Type="http://schemas.openxmlformats.org/officeDocument/2006/relationships/hyperlink" Target="https://www.sconul.ac.uk/sites/default/files/documents/coremodel.pdf" TargetMode="External"/><Relationship Id="rId75" Type="http://schemas.openxmlformats.org/officeDocument/2006/relationships/hyperlink" Target="https://grants.nih.gov/grants/guide/notice-files/NOT-OD-21-013.html"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rcid.org/0009-0004-8563-8915" TargetMode="External"/><Relationship Id="rId23" Type="http://schemas.openxmlformats.org/officeDocument/2006/relationships/chart" Target="charts/chart1.xml"/><Relationship Id="rId28" Type="http://schemas.openxmlformats.org/officeDocument/2006/relationships/hyperlink" Target="https://doi.org/10.1080/02763877.2016.1121070" TargetMode="External"/><Relationship Id="rId36" Type="http://schemas.openxmlformats.org/officeDocument/2006/relationships/hyperlink" Target="https://doi.org/10.21083/partnership.v7i1.1519" TargetMode="External"/><Relationship Id="rId49" Type="http://schemas.openxmlformats.org/officeDocument/2006/relationships/hyperlink" Target="https://thebig6.org/s/Big6-Skills-Overview.pdf" TargetMode="External"/><Relationship Id="rId57" Type="http://schemas.openxmlformats.org/officeDocument/2006/relationships/hyperlink" Target="https://doi.org/10.1515/bams-2020-0026" TargetMode="External"/><Relationship Id="rId10" Type="http://schemas.openxmlformats.org/officeDocument/2006/relationships/hyperlink" Target="http://creativecommons.org/licenses/by-sa/4.0/" TargetMode="External"/><Relationship Id="rId31" Type="http://schemas.openxmlformats.org/officeDocument/2006/relationships/hyperlink" Target="https://doi.org/10.1080/1364557032000119616" TargetMode="External"/><Relationship Id="rId44" Type="http://schemas.openxmlformats.org/officeDocument/2006/relationships/hyperlink" Target="https://www.aamc.org/about-us/mission-areas/medical-education/curriculum-inventory" TargetMode="External"/><Relationship Id="rId52" Type="http://schemas.openxmlformats.org/officeDocument/2006/relationships/hyperlink" Target="https://doi.org/10.3233/EFI-190334" TargetMode="External"/><Relationship Id="rId60" Type="http://schemas.openxmlformats.org/officeDocument/2006/relationships/hyperlink" Target="https://doi.org/10.5195/PALRAP.2016.121" TargetMode="External"/><Relationship Id="rId65" Type="http://schemas.openxmlformats.org/officeDocument/2006/relationships/hyperlink" Target="https://doi.org/10.5860/crl.79.7.948" TargetMode="External"/><Relationship Id="rId73" Type="http://schemas.openxmlformats.org/officeDocument/2006/relationships/hyperlink" Target="https://doi.org/10.5195/jmla.2018.276" TargetMode="External"/><Relationship Id="rId78" Type="http://schemas.openxmlformats.org/officeDocument/2006/relationships/hyperlink" Target="https://doi.org/10.15766/mep_2374-8265.10732"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twitter.com/devononabike" TargetMode="External"/><Relationship Id="rId18" Type="http://schemas.openxmlformats.org/officeDocument/2006/relationships/hyperlink" Target="mailto:sara.westall@und.edu" TargetMode="External"/><Relationship Id="rId39" Type="http://schemas.openxmlformats.org/officeDocument/2006/relationships/hyperlink" Target="https://doi.org/10.1111/hir.12123" TargetMode="External"/><Relationship Id="rId34" Type="http://schemas.openxmlformats.org/officeDocument/2006/relationships/hyperlink" Target="https://www.ala.org/acrl/sites/ala.org.acrl/files/content/publications/whitepapers/GlobalPerspectives_InfoLit.pdf" TargetMode="External"/><Relationship Id="rId50" Type="http://schemas.openxmlformats.org/officeDocument/2006/relationships/hyperlink" Target="https://doi.org/10.5195/jmla.2019.674" TargetMode="External"/><Relationship Id="rId55" Type="http://schemas.openxmlformats.org/officeDocument/2006/relationships/hyperlink" Target="https://doi.org/10.18352/lq.10049" TargetMode="External"/><Relationship Id="rId76" Type="http://schemas.openxmlformats.org/officeDocument/2006/relationships/hyperlink" Target="https://www.usmle.org/usmle-step-1-transition-passfail-only-score-reporting" TargetMode="External"/><Relationship Id="rId7" Type="http://schemas.openxmlformats.org/officeDocument/2006/relationships/endnotes" Target="endnotes.xml"/><Relationship Id="rId71" Type="http://schemas.openxmlformats.org/officeDocument/2006/relationships/hyperlink" Target="https://doi.org/10.3163/1536-5050.100.4.011" TargetMode="External"/><Relationship Id="rId2" Type="http://schemas.openxmlformats.org/officeDocument/2006/relationships/numbering" Target="numbering.xml"/><Relationship Id="rId29" Type="http://schemas.openxmlformats.org/officeDocument/2006/relationships/hyperlink" Target="https://doi.org/10.1080/15323269.2012.665717" TargetMode="External"/><Relationship Id="rId24" Type="http://schemas.openxmlformats.org/officeDocument/2006/relationships/chart" Target="charts/chart2.xml"/><Relationship Id="rId40" Type="http://schemas.openxmlformats.org/officeDocument/2006/relationships/hyperlink" Target="https://doi.org/10.1080/13614533.2014.1001413" TargetMode="External"/><Relationship Id="rId45" Type="http://schemas.openxmlformats.org/officeDocument/2006/relationships/hyperlink" Target="https://libraryjuiceacademy.com/shop/course/282-curriculum-mapping-information-literacy-for-academic-librarians/" TargetMode="External"/><Relationship Id="rId66" Type="http://schemas.openxmlformats.org/officeDocument/2006/relationships/hyperlink" Target="https://doi.org/10.1080/13614533.2016.1200105" TargetMode="External"/><Relationship Id="rId87" Type="http://schemas.openxmlformats.org/officeDocument/2006/relationships/fontTable" Target="fontTable.xml"/><Relationship Id="rId61" Type="http://schemas.openxmlformats.org/officeDocument/2006/relationships/hyperlink" Target="https://doi.org/10.11645/6.2.1718" TargetMode="External"/><Relationship Id="rId8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ndusbpos.sharepoint.com/sites/SMHSLibrarians/Shared%20Documents/Self%20Study/Lit%20Review%20Reboot/article%20writing/2022%203%201%20all%20reconcil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von.olson.2\OneDrive%20-%20North%20Dakota%20University%20System\Self-Study\2022%203%201%20all%20reconciled%207%207%2020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IL frameworks of choice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v>Number of times a framework is included in articles</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findings!$B$91:$B$106</c:f>
              <c:strCache>
                <c:ptCount val="16"/>
                <c:pt idx="0">
                  <c:v>other</c:v>
                </c:pt>
                <c:pt idx="1">
                  <c:v>none</c:v>
                </c:pt>
                <c:pt idx="2">
                  <c:v>professional organization frame</c:v>
                </c:pt>
                <c:pt idx="3">
                  <c:v>LCME</c:v>
                </c:pt>
                <c:pt idx="4">
                  <c:v>EBP/M/N</c:v>
                </c:pt>
                <c:pt idx="5">
                  <c:v>AAMC</c:v>
                </c:pt>
                <c:pt idx="7">
                  <c:v>RSD</c:v>
                </c:pt>
                <c:pt idx="8">
                  <c:v>SCONUL</c:v>
                </c:pt>
                <c:pt idx="9">
                  <c:v>CILIP</c:v>
                </c:pt>
                <c:pt idx="10">
                  <c:v>Big 6</c:v>
                </c:pt>
                <c:pt idx="11">
                  <c:v>ANZIL</c:v>
                </c:pt>
                <c:pt idx="12">
                  <c:v>ANCIL</c:v>
                </c:pt>
                <c:pt idx="13">
                  <c:v>ACRL Standards for Nursing</c:v>
                </c:pt>
                <c:pt idx="14">
                  <c:v>ACRL Standards</c:v>
                </c:pt>
                <c:pt idx="15">
                  <c:v>ACRL Framework</c:v>
                </c:pt>
              </c:strCache>
            </c:strRef>
          </c:cat>
          <c:val>
            <c:numRef>
              <c:f>findings!$C$91:$C$106</c:f>
              <c:numCache>
                <c:formatCode>General</c:formatCode>
                <c:ptCount val="16"/>
                <c:pt idx="0">
                  <c:v>39</c:v>
                </c:pt>
                <c:pt idx="1">
                  <c:v>41</c:v>
                </c:pt>
                <c:pt idx="2">
                  <c:v>27</c:v>
                </c:pt>
                <c:pt idx="3">
                  <c:v>2</c:v>
                </c:pt>
                <c:pt idx="4">
                  <c:v>31</c:v>
                </c:pt>
                <c:pt idx="5">
                  <c:v>1</c:v>
                </c:pt>
                <c:pt idx="7">
                  <c:v>0</c:v>
                </c:pt>
                <c:pt idx="8">
                  <c:v>13</c:v>
                </c:pt>
                <c:pt idx="9">
                  <c:v>4</c:v>
                </c:pt>
                <c:pt idx="10">
                  <c:v>3</c:v>
                </c:pt>
                <c:pt idx="11">
                  <c:v>5</c:v>
                </c:pt>
                <c:pt idx="12">
                  <c:v>1</c:v>
                </c:pt>
                <c:pt idx="13">
                  <c:v>9</c:v>
                </c:pt>
                <c:pt idx="14">
                  <c:v>29</c:v>
                </c:pt>
                <c:pt idx="15">
                  <c:v>20</c:v>
                </c:pt>
              </c:numCache>
            </c:numRef>
          </c:val>
          <c:extLst>
            <c:ext xmlns:c16="http://schemas.microsoft.com/office/drawing/2014/chart" uri="{C3380CC4-5D6E-409C-BE32-E72D297353CC}">
              <c16:uniqueId val="{00000000-1D96-1D42-92C3-75E1485746CE}"/>
            </c:ext>
          </c:extLst>
        </c:ser>
        <c:dLbls>
          <c:dLblPos val="outEnd"/>
          <c:showLegendKey val="0"/>
          <c:showVal val="1"/>
          <c:showCatName val="0"/>
          <c:showSerName val="0"/>
          <c:showPercent val="0"/>
          <c:showBubbleSize val="0"/>
        </c:dLbls>
        <c:gapWidth val="182"/>
        <c:axId val="556099863"/>
        <c:axId val="1073022984"/>
      </c:barChart>
      <c:catAx>
        <c:axId val="5560998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3022984"/>
        <c:crosses val="autoZero"/>
        <c:auto val="1"/>
        <c:lblAlgn val="ctr"/>
        <c:lblOffset val="100"/>
        <c:noMultiLvlLbl val="0"/>
      </c:catAx>
      <c:valAx>
        <c:axId val="1073022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099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information literacy domains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v>times included in curricula</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findings!$B$119:$B$125</c:f>
              <c:strCache>
                <c:ptCount val="7"/>
                <c:pt idx="0">
                  <c:v>research organisation</c:v>
                </c:pt>
                <c:pt idx="1">
                  <c:v>search syntax</c:v>
                </c:pt>
                <c:pt idx="2">
                  <c:v>information architecture</c:v>
                </c:pt>
                <c:pt idx="3">
                  <c:v>information equity</c:v>
                </c:pt>
                <c:pt idx="4">
                  <c:v>scholarly communications</c:v>
                </c:pt>
                <c:pt idx="5">
                  <c:v>integrating evidence</c:v>
                </c:pt>
                <c:pt idx="6">
                  <c:v>other </c:v>
                </c:pt>
              </c:strCache>
            </c:strRef>
          </c:cat>
          <c:val>
            <c:numRef>
              <c:f>findings!$C$119:$C$125</c:f>
              <c:numCache>
                <c:formatCode>General</c:formatCode>
                <c:ptCount val="7"/>
                <c:pt idx="0">
                  <c:v>81</c:v>
                </c:pt>
                <c:pt idx="1">
                  <c:v>75</c:v>
                </c:pt>
                <c:pt idx="2">
                  <c:v>67</c:v>
                </c:pt>
                <c:pt idx="3">
                  <c:v>22</c:v>
                </c:pt>
                <c:pt idx="4">
                  <c:v>73</c:v>
                </c:pt>
                <c:pt idx="5">
                  <c:v>4</c:v>
                </c:pt>
                <c:pt idx="6">
                  <c:v>23</c:v>
                </c:pt>
              </c:numCache>
            </c:numRef>
          </c:val>
          <c:extLst>
            <c:ext xmlns:c16="http://schemas.microsoft.com/office/drawing/2014/chart" uri="{C3380CC4-5D6E-409C-BE32-E72D297353CC}">
              <c16:uniqueId val="{00000000-CB84-F74C-AAFA-8DD43B06EA8F}"/>
            </c:ext>
          </c:extLst>
        </c:ser>
        <c:dLbls>
          <c:dLblPos val="outEnd"/>
          <c:showLegendKey val="0"/>
          <c:showVal val="1"/>
          <c:showCatName val="0"/>
          <c:showSerName val="0"/>
          <c:showPercent val="0"/>
          <c:showBubbleSize val="0"/>
        </c:dLbls>
        <c:gapWidth val="182"/>
        <c:axId val="862456216"/>
        <c:axId val="283799703"/>
      </c:barChart>
      <c:catAx>
        <c:axId val="862456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799703"/>
        <c:crosses val="autoZero"/>
        <c:auto val="1"/>
        <c:lblAlgn val="ctr"/>
        <c:lblOffset val="100"/>
        <c:noMultiLvlLbl val="0"/>
      </c:catAx>
      <c:valAx>
        <c:axId val="2837997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456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BDFAE-FCB9-5D4B-915E-B7995123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10188</Words>
  <Characters>58073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Olson, Devon</dc:creator>
  <cp:lastModifiedBy>H D</cp:lastModifiedBy>
  <cp:revision>11</cp:revision>
  <dcterms:created xsi:type="dcterms:W3CDTF">2023-05-21T17:49:00Z</dcterms:created>
  <dcterms:modified xsi:type="dcterms:W3CDTF">2023-11-12T18:43:00Z</dcterms:modified>
</cp:coreProperties>
</file>